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2003 el Abogado don Luis Miguel Pérez Espadas formuló recurso de amparo en interés de don Stanley Enoak contra el Auto del Juzgado de Instrucción núm. 3 de Puerto del Rosario de 22 de agosto anterior, por el que se denegó la incoación de un procedimiento de habeas corpus. Solicitó que se le tuviera por parte en representación del Sr. Enoak, entendiéndose con él las sucesivas diligencias hasta que, dado que el citado Sr. Enoak tenía derecho a asistencia jurídica gratuita en virtud del artículo 22.1 de la Ley Orgánica 4/2000,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28 de febrero de 2005 la designación, con carácter provisional, de la colegiada doña Paloma Prieto González.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18 de abril de 2005, que ingresó en este Tribunal el día 28 siguiente, el Ilustre Colegio de Abogados de Madrid comunicó que había procedido al archivo de la solicitud de asistencia jurídica gratuita de don Stanley Enoak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Enoak suponía, de acuerdo con el art. 18 LAJG, que quedara sin efecto la designación provisional efectuada en su día de la Procuradora doña Paloma Prieto González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pasado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5576-2003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Stanley Enoak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Enoak,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Enoak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Enoak.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Stanley Enoak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sdicional segunda del Acuerdo de 18 de junio de 1996, del Pleno del Tribunal Constitucional sobre ssistencia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