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marzo de 2008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741-2006) contra la resolución de la Junta Provincial de Hacienda de Córdoba por la que estima la reclamación económico-administrativa 1171-2005,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consagrado en 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Juez de lo Contencioso-Administrativo núm. 2 de Córdoba dictó providencia el día 12 de julio de 2007 en los términos siguientes: “De conformidad con lo dispuesto en el art. 35.2 de la LeyOrgánica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demandante Enresa solicitó el planteamiento de la cuestión de inconstitucionalidad por los motivos ya expresados en su escrito de demanda en el proceso a quo. La representación procesal de la Junta de Andalucía manifestó su parecer desfavorable al planteamiento de la cuestión de inconstitucionalidad. La parte codemandada, Unión Fenosa Generación, S.A., estimó procedente el planteamiento de la cuestión. El Ministerio Fiscal no formuló alegación alguna. </w:t>
      </w:r>
    </w:p>
    <w:p w:rsidRPr="00C21FFE" w:rsidR="00AD51A7" w:rsidRDefault="008777C4">
      <w:pPr>
        <w:rPr/>
      </w:pPr>
      <w:r w:rsidRPr="&lt;w:rPr xmlns:w=&quot;http://schemas.openxmlformats.org/wordprocessingml/2006/main&quot;&gt;&lt;w:lang w:val=&quot;es-ES_tradnl&quot; /&gt;&lt;/w:rPr&gt;">
        <w:rPr/>
        <w:t xml:space="preserve">d) El órgano judicial dictó el 3 de octubre de 2007 Auto planteando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el 27 de febrero de 2007 acordando tener por desistido al Abogado del Estado y el archivo de las actuaciones. Por esta razón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Respecto a los concretos motivos que determinan el planteamiento de la cuestión de inconstitucionalidad, el Auto se remite, literalmente, a los expresados en los Autos por los cuales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limiten o condicionen el régimen de producción energética, lo que determina que no vulneren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al referirse a la misma actividad del IAE, epígrafe 143.3 almacenamiento de residuos radiactivos, por lo que considera que el tributo autonómico puede ser contrario al art. 6.2 LOFCA (en realidad 6.3 LOFCA) en relación con el art. 133.2 CE. Y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15 de abril de 2008, se acordó oír al Fiscal General del Estado para que, en el plazo de diez días, alegara lo que considerara conveniente acerca de la posible falta de condiciones procesales para su admisión, así como si la misma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junio de 2008 el Fiscal General del Estado presentó su escrito de alegaciones en el que, tras la exposición de los antecedentes del caso,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las cuestiones de inconstitucionalidad carentes de los necesarios requisitos procesales que para su promoción se derivan de los arts. 163 CE y 35 a 37 LOTC o que resulten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y 128/2008, de 22 de mayo, en los cuales se inadmiten cuestiones de inconstitucionalidad idénticas a la aquí examinada y planteadas por el mismo Juzgado de lo Contencioso-Administrativo núm. 2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53/2008 y 128/2008, en el cual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2313-2008,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