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4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2007 don José Luis Mazón Cuesta interpuso, en su propio nombre, recurso de amparo contra el Auto de la Sala de lo Penal del Tribunal Supremo, de 27 de septiembre de 2007, que desestima el recurso de súplica interpuesto contra su Auto anterior, de 1 de junio de 2007, que acordó no admitir a trámite y, en consecuencia, archivar la querella formulada por el recurrente contra la Presidenta de este Tribunal, Excma. Sra. doña María Emilia Casas Baamonde, por supuesto delito del art. 426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enero de 2008,la Excma. Sra. Presidenta de este Tribunal manifestó su voluntad de abstenerse de toda intervención en el presente recurso de amparo y sus incidencias por entender que concurría en su persona las causas 4ª del art. 219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escrito presentado por la Presidenta del Tribunal, Excma. Sra. doña María Emilia Casas Baamonde, en el que manifiesta formalmente su voluntad de abstenerse en el conocimiento del recurso de amparo núm. 9591-2007 y en todas sus incidencias aduciendo la causa 4ª del art. 219 de la Ley Orgánica del Poder Judicial (LOPJ), el Pleno, en virtud de lo previsto en los arts. 80 LOTC y 221.4 LOPJ, estima justificada la causa de abstención formulada, habida cuenta que precisamente contra la expresada Sra. Presidenta fue formulada por el recurrente en amparo la querella inadmitida por la Sala Segunda del Tribunal Supremo a que se ha hecho mención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causa de abstención formulada por la Excma. Sra. doña María Emilia Casas Baamonde en el recurso de amparo núm. 9591-2007, apartándola definitivamente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