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18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abril de 2007, don Javier Fernández Estrada, Procurador de los Tribunales, y de don Anthony Eric Durrant,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 la Sección Cuarta de la Sala de lo Penal de la Audiencia Nacional núm. 22/2006, de 29 de mayo, se condenó al demandante de amparo, como autor de un delito contra la salud pública de sustancia que no causa grave daño para la salud, en cantidad de notoria importancia (arts. 368 y 369.1º del Código penal: CP), a las penas de cuatro años de prisión, multa de 18 millones de euros, accesoria de inhabilitación especial para el ejercicio del derecho de sufragio pasivo durante el tiempo de la condena y al pago proporcional de las costas procesales causadas. </w:t>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casación, desestimado por Sentencia de la Sala de lo Penal del Tribunal Supremo núm. 203/2007, de 13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los derechos del recurrente al secreto de las comunicaciones (art 18.3 CE), a la defensa (art. 24.2 CE), a un proceso con todas las garantías (art. 24.2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de 2008, la Sección Primera de este Tribunal acordó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 de abril de 2009, tuvo entrada en el Registro General de este Tribunal un escrito de la representación procesal del recurrente en el que se solicitaba la suspensión de la ejecución de las resoluciones recurridas en amparo, a fin de no privar de efectividad el eventual otorgamiento del amparo, pues la pena privativa de libertad impuesta es inferior a cinco años, y restan menos de dos años de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fecha 27 de abril de 2009, la Sección Primera de este Tribunal acordó formar la correspondiente pieza separada de suspensión y, de conformidad con lo previsto en el art. 56 LOTC, conceder un plazo común de tres días al Ministerio Fiscal y a la parte recurrente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4 de mayo de 2009 realizó sus alegaciones el demandante de amparo, quien reitera la solicitud de suspensión a fin de evitar que la eventual concesión del amparo carezca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mayo de 2009 se registró en este Tribunal el escrito de alegaciones del Ministerio Fiscal, que interesa la estimación de la solicitud de suspensión de la pena privativa de libertad de cuatro años de prisión y de la accesoria legal de inhabilitación para el ejercicio del derecho de sufragio pasivo. </w:t>
      </w:r>
    </w:p>
    <w:p w:rsidRPr="00C21FFE" w:rsidR="00AD51A7" w:rsidRDefault="008777C4">
      <w:pPr>
        <w:rPr/>
      </w:pPr>
      <w:r w:rsidRPr="&lt;w:rPr xmlns:w=&quot;http://schemas.openxmlformats.org/wordprocessingml/2006/main&quot;&gt;&lt;w:lang w:val=&quot;es-ES_tradnl&quot; /&gt;&lt;/w:rPr&gt;">
        <w:rPr/>
        <w:t xml:space="preserve">Tras recordar nuestra doctrina en materia de suspensión, destaca el Fiscal que nos encontramos ante una pena de prisión de cuatro años y que en la Sentencia de instancia consta que el recurrente sufrió prisión preventiva desde el 4 de noviembre de 2003 hasta el 24 de marzo de 2006, esto es, más de dos años y cuatro meses, por lo que la pena que le resta por cumplir no llega a dos años, plazo inferior al que consume la tramitación de un recurso de amparo, por lo que de no accederse a la suspensión los efectos de un eventual otorgamiento del amparo serían meramente ilusorios, al haberse extinguido la condena. </w:t>
      </w:r>
    </w:p>
    <w:p w:rsidRPr="00C21FFE" w:rsidR="00AD51A7" w:rsidRDefault="008777C4">
      <w:pPr>
        <w:rPr/>
      </w:pPr>
      <w:r w:rsidRPr="&lt;w:rPr xmlns:w=&quot;http://schemas.openxmlformats.org/wordprocessingml/2006/main&quot;&gt;&lt;w:lang w:val=&quot;es-ES_tradnl&quot; /&gt;&lt;/w:rPr&gt;">
        <w:rPr/>
        <w:t xml:space="preserve">La suspensión ha de alcanzar tanto a la pena privativa de libertad, como a la accesoria legal, pero no a la pena de multa, ni a la condena en costas, al tratarse de pronunciamientos de naturaleza económica y susceptibles de reparación mediante la devolución de lo abonado.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(AATC 235/2005, de 6 de junio, FJ 3; 63/2007, de 26 de febrero, FJ 2; 336/2007, de 18 de julio, FJ 1, entre otros muchos). Por el contrario, entiende procedente acordarla en aquellos otros que afectan a bienes o derechos del recurrente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334/2004, de 13 de septiembre, FJ 3; 369/2005, de 24 de octubre, FJ 2; 214/2007, de 16 de abril, FJ 2; 287/2007, de 18 de junio, FJ 2; 466/2007,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nos lleva a declarar, tras ponderar los intereses en juego, en primer término, la procedencia de la suspensión de la ejecución de la pena privativa de libertad impuesta, conforme a lo solicitado por el Ministerio Fiscal, pues la duración de la misma es de cuatro años; inferior, por tanto, a la frontera de cinco años que le sirve al legislador penal (art. 33 del Código penal: CP) para diferenciar entre las penas graves y las menos graves y que este Tribunal ha adoptado como directriz inicial, acordando como regla general la suspensión por debajo de ese límite (por todos, AATC 32/2007, de 12 de febrero, FJ 2; 466/2007, de 17 de diciembre, FJ 2; 266/2008, de 11 de septiembre, FJ 1). Además ha de tomarse en consideración que ya se ha cumplido más de la mitad de la condena —pues, como señala el Ministerio Fiscal, consta acreditado en la Sentencia de instancia que el recurrente sufrió prisión preventiva desde el 4 de noviembre de 2003 hasta el 24 de marzo de 2006, esto es, más de dos años y cuatro meses—, por lo que el tiempo que resta de cumplimiento es inferior a dos años. Y si se compara dicho periodo con el tiempo que requiere la tramitación de un proceso como el presente, ha de concluirse —como también señala el Fiscal— que de no concederse la suspensión se ocasionaría un perjuicio irreparable, que dejaría totalmente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para el ejercicio del derecho de sufragio pasivo legalmente impuesta, pues las penas accesorias han de seguir la misma suerte que la principal (AATC 131/2001, de 22 de mayo, FJ 2; 408/2005, de 21 de noviembre, FJ 2; y 80/2006, de 13 de marzo, FJ 2, entre otros muchos).</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—pena de multa y costas procesales—, de conformidad con el criterio de este Tribunal, al tratarse de condenas de contenido económico, los perjuicios anejos a su ejecución son perfectamente reparables en caso de estimarse el amparo, por lo que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Sección Cuarta de la Sala de lo Penal de la Audiencia Nacional núm. 22/2006, de 29 de mayo, exclusivamente en lo referente a la pena privativa de libertad de cuatro años de prisión y a la accesoria</w:t>
      </w:r>
    </w:p>
    <w:p w:rsidRPr="" w:rsidR="00AD51A7" w:rsidRDefault="008777C4">
      <w:pPr>
        <w:rPr/>
      </w:pPr>
      <w:r w:rsidRPr="&lt;w:rPr xmlns:w=&quot;http://schemas.openxmlformats.org/wordprocessingml/2006/main&quot;&gt;&lt;w:szCs w:val=&quot;24&quot; /&gt;&lt;/w:rPr&gt;">
        <w:rPr/>
        <w:t xml:space="preserve">legal de inhabilitación especial para el ejercicio del derecho de sufragio pasivo impuesta al demandante de amparo.</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