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15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octubre de 2005 el Procurador de los Tribunales don Manuel Sánchez-Puelles González Carvajal, en nombre y representación de Bodegas Berberana, S.A., interpuso recurso de amparo contra la Sentencia núm. 722, de 30 de junio de 2005, de la Sección Octava de la Sala de lo Contencioso-Administrativo del Tribunal Superior de Justicia de Madrid recaída en recurso contencioso-administrativo núm. 2247-2002 interpuesto contra la Resolución del Secretario General Técnico del Ministerio de Agricultura, Pesca y Alimentación de 24 de septiembre de 2000 que le impuso dos sanciones por la comisión de sendas infracciones previstas en el Reglamento de la denominación de origen Rioja, aprobado por Orden de 3 de abril de 1991. La demanda de amparo invoca como lesionados el derecho a la tutela judicial efectiva (art. 24.1 CE) y el principio de legalidad en materia sancionadora (art. 25 CE). En la demanda de amparo se solicita la suspensión cautelar de la ejecución de las sanciones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28 de abril de 2009 la Sala Segunda del Tribunal Constitucional acordó admitir a trámite la demanda, de conformidad con lo previsto en el art. 50.1 de la Ley Orgánica del Tribunal Constitucional, redactado por la Ley Orgánica 6/2007, de 24 de mayo, y formar la correspondiente pieza separada de suspensión, de conformidad con lo solicitado por el demandante; y, de conformidad con lo prevenido en el art. 56 de la Ley Orgánica del Tribunal Constitucional, conceder un plazo común de tres días a la parte recurrente y al Ministerio Fiscal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día 7 de mayo de 2009 el trámite de alegaciones conferido, interesando la denegación de la suspensión solicitada toda vez que el contenido de las resoluciones sancionadoras es puramente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11 de mayo de 2009 tuvo entrada en este Tribunal el escrito de alegaciones de la entidad recurrente en amparo, en el que manifestó que las sanciones administrativas impuestas por la Administración y confirmadas judicialmente se basaron en una norma reglamentaria que fue anulada por Sentencia de 10 de junio de 2004 del Tribunal Supremo. La ejecución de tal sanción sería una medida contraria al principio de apariencia de buen derecho y a las más elementales exigencias de justicia material y supondría unos perjuicios difícilmente reparables para la demandante de amparo, por imprevistos y por derivarse de un acto manifiestamente contrario a Derecho y radicalmente injusto.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Conforme a nuestra doctrina, referida a la redacción inicial del art. 56 LOTC y refrendada en relación con la actualmente vigente (por todos, ATC 56/2009, de 23 de febrero, FJ 1), la suspensión es una medida provisional de carácter excepcional y de aplicación restrictiva, habida cuenta del interés general en la efectividad de las decisiones de los poderes públicos y, particularmente, en la ejecución de las resoluciones provenientes de los Jueces y Tribunales en el ejercicio de la potestad jurisdiccional que les otorga el art. 117.3 CE, ya que la salvaguarda del interés general que implica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recurrida ocasione un perjuicio al recurrente “que pudiera hacer perder al amparo su finalidad”, y siempre que, como ya se ha indicado, la suspensión no produzca perturbaciones graves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96/2009, de 23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en el análisis del supuesto a que se refiere la presente petición de suspensión,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sería legalmente posible, si se otorgara posteriormente el amparo, que el recurrente obtuviera la devolución de lo pagado en ejecución de la Sentencia (AATC 291/2004, de 19 de julio y 241/2005, de 6 de junio). Por lo que procede en este caso denegar la suspensión interesada, máxime cuando la entidad recurrente no ha cumplido con la carga de acreditar que la ausencia de suspensión privaría de finalidad al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