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11 de diciembre de 2009 y que fue registrado como recurso núm. 10389-2009, don Antoni Rius i Cardona manifestó su intención de interponer recurso de amparo contra el Auto de 30 de marzo de 2009 dictado por el Juzgado de lo Contencioso- Administrativo núm. 11 de Barcelona en el recurso contencioso-administrativo núm. 614-2008.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Cuarta, a la que correspondió conocer de este asunto, de 21 de enero de 2010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febrero de 2010 se recibió en este Tribunal traslado de la resolución adoptada por la Comisión central de asistencia jurídica gratuita en su sesión de 12 de febrero de 2010,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22 de febrero de 2010, la Sección Cuarta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marzo de 2010 llegó al Registro General de este Tribunal un escrito fechado el 13 de marzo de 2010 en el que don Antoni Rius i Cardona decía recusar a los Magistrados don Vicente Conde Martín de Hijas, doña Elisa Pérez Vera y don Ramón Rodríguez Arribas, integrantes de la Sección Cuarta. Alegó que dichos Magistrados tenían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Cuarta del criterio del Pleno y que los Magistrados de dicha Sección estaban inhabilitados para tomar cualquier decisión sobre el requerimiento contenido en la providencia de 22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el contenido de la providencia,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pagara 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22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abril pasado el Excmo. Sr. Presidente de la Sala Segunda remitió al Pleno el escrito a que acaba de hacerse referencia junto con testimonio del recurso 10389-2009.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10389-2009.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