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17 de diciembre de 2007, el Procurador de los Tribunales don Luis José García Barrenechea, en representación de don José Luis Peña Domingo y don Juan José Moreno Alonso, presentó recurso de amparo contra la Sentencia de 10 de octubre de 2007 de la Sección Octava de la Sala de lo Contencioso-Administrativo del Tribunal Superior de Justicia de Madrid, recaída en el recurso de apelación núm. 516-2007 interpuesto contra Sentencia del Juzgado de lo Contencioso-Administrativo núm. 11 de Madrid de 13 de abril de 2007, dictada en el procedimiento de protección de derechos fundamentales núm. 4-2006.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vigilancia de la contratación del Ayuntamiento de Majadahonda a la sesión de la referida comisión informativa a celebrar el día 18 de octubre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11 de Madrid de 13 de abril de 2007 (procedimiento de protección de derechos fundamentales núm. 4-2006). Contra esta Sentencia interpusieron los demandantes recurso de apelación, que fue desestimado por Sentencia de 10 de octubre de 2007 de la Sección Octava de la Sala de lo Contencioso-Administrativo del Tribunal Superior de Justicia de Madrid (recurso de apelación núm. 516-2007).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Ley Orgánica del Tribunal Constitucional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