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octubre de 2001 tuvo entrada en el Registro General de este Tribunal Constitucional un escrito de la Sección Primera de la Sala de lo Contencioso-Administrativo del Tribunal Superior de Justicia de Cataluña, al que se acompaña, junto al testimonio del correspondiente procedimiento, el Auto de la referida Sala de 13 de julio de 2001,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(LHL), en la redacción dada por la Ley 25/1998, de 13 de julio, de modificación del régimen legal de las tasas estatales y locales y de reordenación de las prestaciones patrimoniales de carácter público, dado que pudiera ser contrario a los arts. 31.1, 133.1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sucintamente, los siguientes: </w:t>
      </w:r>
    </w:p>
    <w:p w:rsidRPr="00C21FFE" w:rsidR="00AD51A7" w:rsidRDefault="008777C4">
      <w:pPr>
        <w:rPr/>
      </w:pPr>
      <w:r w:rsidRPr="&lt;w:rPr xmlns:w=&quot;http://schemas.openxmlformats.org/wordprocessingml/2006/main&quot;&gt;&lt;w:lang w:val=&quot;es-ES_tradnl&quot; /&gt;&lt;/w:rPr&gt;">
        <w:rPr/>
        <w:t xml:space="preserve">El Ayuntamiento de Mollerusa, con base en su ordenanza fiscal de 15 de diciembre de 1988 giró a la entidad Sistemas e Imagen Publicitaria, S.L., una liquidación por el concepto de tasa por la instalación de anuncios ocupando terrenos de dominio público visual o visibles desde carreteras, caminos vecinales y demás vías públicas correspondiente al ejercicio 1999, por importe de 244.800 pesetas. Contra la tasa la parte actora interpuso, en primer lugar, recurso de reposición, que fue desestimado y, más tarde, recurso contencioso-administrativo ante el Juzgado de lo Contencioso- Administrativo núm. 1 de Lleida, por entender que el uso privativo del suelo no constituía el hecho imponible de una tasa y de admitirse el gravamen de la actividad publicitaria visible desde el dominio público se estaría estableciendo un nuevo impuesto que carecería de los elementos esenciales (sujeto pasivo, cuantía y devengo). Por Sentencia de 8 de octubre de 1999 fue desestimado su recurso, motivo por el cual fue recurrida en apelación ante la Sala del citado orden jurisdiccional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Tramitado dicho recurso, la Sala dictó providencia el 30 de mayo de 2001 acordando dar traslado a las partes y al Ministerio Fiscal para que formularan alegaciones sobre el planteamiento de una cuestión de inconstitucionalidad. Evacuado el trámite de alegaciones conferido, tanto la parte actora como el Ministerio Fiscal consideraron procedente el planteamiento de la cuestión de inconstitucionalidad, mientras que el Ayuntamiento de Mollerusa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13 de julio de 2001, la Sección Primera de la Sala de lo Contencioso- Administrativo del Tribunal Superior de Justicia de la Cataluña acordó elevar a este Tribunal cuestión de inconstitucionalidad en relación con el inciso “o visibles desde carreteras, caminos vecinales y demás vías públicas locales” de la letra s) del art. 20.3 LHL, en la redacción que le dio la Ley 25/1998, de 13 de junio, de modificación del régimen de las tasas estatales y locales y de reordenación de las prestaciones patrimoniales de carácter público, por poder contravenir los arts. 31.1 (principio de justicia del sistema tributario) y 133.1 y 132.2 (principio de reserva de ley en el establecimiento de los tributos y sus elementos esenciales) de la Constitución, por la desnaturalización del concepto de tasa que pudiera representar, y por la ausencia de referencias legales para establecer la cuantía de la exacción en el supuesto de anuncios visibles desde carreteras, caminos vecinales y demás vías públicas locales. </w:t>
      </w:r>
    </w:p>
    <w:p w:rsidRPr="00C21FFE" w:rsidR="00AD51A7" w:rsidRDefault="008777C4">
      <w:pPr>
        <w:rPr/>
      </w:pPr>
      <w:r w:rsidRPr="&lt;w:rPr xmlns:w=&quot;http://schemas.openxmlformats.org/wordprocessingml/2006/main&quot;&gt;&lt;w:lang w:val=&quot;es-ES_tradnl&quot; /&gt;&lt;/w:rPr&gt;">
        <w:rPr/>
        <w:t xml:space="preserve">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Con carácter general no suscita problema constitucional alguno la sujeción a una tasa de la utilización privativa o el aprovechamiento especial del dominio público local, pero tomando como base lo establecido en los arts. 75 a 78 y 82 del Decreto 1372/1986, de 13 de junio, el uso del dominio público local que ha sido cuestionado ha de calificarse, en primer lugar, como común, por corresponder por igual a todos los ciudadanos indistintamente, sin que el uso de unos (la contemplación, percepción o visibilidad de los anuncios) impida el de los demás interesados; en segundo término, el uso ha de estimarse necesariamente general, por no concurrir las circunstancias singulares de peligrosidad, intensidad u otra semejante; y, en tercer lugar, se trata de un uso normal, esto es, conforme con el destino principal del dominio público a que afecte, pues la deambulación o paseo por las vías públicas conlleva el uso normal de los sentidos de las personas que los llevan a cabo. </w:t>
      </w:r>
    </w:p>
    <w:p w:rsidRPr="00C21FFE" w:rsidR="00AD51A7" w:rsidRDefault="008777C4">
      <w:pPr>
        <w:rPr/>
      </w:pPr>
      <w:r w:rsidRPr="&lt;w:rPr xmlns:w=&quot;http://schemas.openxmlformats.org/wordprocessingml/2006/main&quot;&gt;&lt;w:lang w:val=&quot;es-ES_tradnl&quot; /&gt;&lt;/w:rPr&gt;">
        <w:rPr/>
        <w:t xml:space="preserve">El órgano judicial considera que la cuestión esencial consiste en determinar si es constitucionalmente posible gravar con una tasa un uso del dominio público que ni es privativo ni es especial, sino común y general. En su opinión, la tasa analizada no se ajusta al principio de justicia contributiva proclamado en el art. 31.1 CE, porque grava el uso común, general y normal del dominio público, consistente en la “visibilidad” desde el mismo de anuncios instalados en terrenos o inmuebles de dominio privado. Califica el gravamen de injusto y arbitrario, por ser susceptible de extenderse a cualquier otro uso común y general, con lo cual, la desnaturalización de la tasa resulta indudable. Añade que, una vez derogado el impuesto municipal sobre la publicidad por la LHL, en modo alguno cabe estimar constitucionalmente factible que mediante la Ley 25/1998, de 13 de julio, se reintroduzca o resucite aquel impuesto. </w:t>
      </w:r>
    </w:p>
    <w:p w:rsidRPr="00C21FFE" w:rsidR="00AD51A7" w:rsidRDefault="008777C4">
      <w:pPr>
        <w:rPr/>
      </w:pPr>
      <w:r w:rsidRPr="&lt;w:rPr xmlns:w=&quot;http://schemas.openxmlformats.org/wordprocessingml/2006/main&quot;&gt;&lt;w:lang w:val=&quot;es-ES_tradnl&quot; /&gt;&lt;/w:rPr&gt;">
        <w:rPr/>
        <w:t xml:space="preserve">Destaca que la reserva de ley exige que la creación ex novo de un tributo y la determinación de los elementos esenciales o configuradores del mismo debe llevarse a cabo mediante ley, tratándose de una reserva relativa en la que resulta admisible la colaboración del reglamento. El alcance de esta colaboración está en función de la diversa naturaleza de las figuras jurídico-tributarias y de los distintos elementos de las mismas. Respecto de las prestaciones patrimoniales públicas por aprovechamientos especiales, el fundamento jurídico 19 de la STC 233/1999, de 16 de diciembre, concluyó que la redacción originaria del art. 45 LHL establecía límites precisos desde el punto de vista de la reserva de ley en relación con los precios públicos por utilización privativa o aprovechamiento especial del dominio público. Las consideraciones constitucionales anteriores vienen referidas a prestaciones patrimoniales públicas relativas al aprovechamiento especial o utilización privativa del dominio público local. Sin embargo el uso común y general del dominio público local no es susceptible, por su propia naturaleza, de ser cuantificado, y menos de hacerse en función de la utilidad que tal uso proporciona a un tercero. Al carecerse de cualquier criterio constitucionalmente legítimo para la cuantificación de la tasa a que se refiere el inciso cuestionado, se infringen los arts. 133.1 y 132.2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16 de octubre de 2001, acordó admitir a trámite la cuestión de inconstitucionalidad planteada y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257, de 26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 de noviembre de 2001, la Presidenta del Congreso de los Diputados comunicó que dicha Cámara no se personaría en el procedimiento ni formularía alegaciones, con remisión a la Dirección de Estudios y Documentación de la Secretaría General. Posteriormente, por escrito registrado en este Tribunal el día 16 del mismo mes, se recibió otra comunicación de la Presidenta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8 de noviembre de 2001 el Abogado del Estado evacuó el trámite de alegaciones conferido, suplicando que se dictara Sentencia desestimando la cuestión planteada. En su escrito se remite a las alegaciones presentadas en relación con la cuestión de inconstitucionalidad 5823-2000, por guardar ambas una identidad de contenido, dado que el precepto cuestionado es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por escrito registrado en este Tribunal el día 19 de noviembre de 2001 interesó la desestimación de la presente cuestión y formuló en esencia las mismas alegaciones realizadas respecto de la cuestión de inconstitucionalidad 5823-2000.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Cataluña,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 los arts. 31.1, 133.1 y 133.2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5823-2000, y dictada con posterioridad a la admisión a trámite de la presente cuestión, este Tribunal ha declarado inconstitucional y nulo el mismo inciso del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5145-2001,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