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25 de noviembre de 2010, don Javier Martínez Izaguirre, representado por el Procurador de los Tribunales don Javier Cuevas Rivas y asistido por la Letrada doña Eukene Jauregi Lejona, interpuso recurso de amparo contra el Auto dictado por la Sección Segunda de la Sala de lo Penal de la Audiencia Nacional el 28 de septiembre de 2010, que desestimó el recurso de súplica interpuesto contra el Auto de 3 de septiembre del 2010, dictado por la misma Sección en la ejecutoria núm. 82-1997.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3 de septiembre de 2010 la Sección Segunda de la Sala de lo Penal de la Audiencia Nacional dictó Auto aprobando el licenciamiento definitivo del penado para el día 5 de mayo de 2022. </w:t>
      </w:r>
    </w:p>
    <w:p w:rsidRPr="00C21FFE" w:rsidR="00AD51A7" w:rsidRDefault="008777C4">
      <w:pPr>
        <w:rPr/>
      </w:pPr>
      <w:r w:rsidRPr="&lt;w:rPr xmlns:w=&quot;http://schemas.openxmlformats.org/wordprocessingml/2006/main&quot;&gt;&lt;w:lang w:val=&quot;es-ES_tradnl&quot; /&gt;&lt;/w:rPr&gt;">
        <w:rPr/>
        <w:t xml:space="preserve">c) Contra el anterior Auto interpuso el demandante un recurso de súplica, que fue desestimado por Auto de 28 de septiembre de 2010 que, del mismo modo que el Auto impugnado, se sustenta en el criterio iniciado por la Sala de lo Penal del Tribunal Supremo con la STS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(art. 17.1 CE) y a la tutela judicial efectiva (art. 24.1 CE), así como los principios de legalidad (art. 25.1 CE) y seguridad jurídica (art. 9.1 CE),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2011 la Sala Segunda de este Tribunal acordó la admisión a trámite de la demanda de amparo, así como, a tenor de lo establecido en el art. 51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presentó el 30 de mayo de 2011, a través del Juzgado de guardia de Madrid, un escrito en el que reitera la pretensión suspensiva, afirmando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31 de mayo de 2011,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el Auto de la Sección Segunda de la Sala de lo Penal de la Audiencia Nacional de 3 de septiembre de 2010 así como el posterior Auto de 28 de septiembre de 2010, que desestimó el recurso de súplica interpuesto contra el primero. De modo que las resoluciones judiciales recurridas en amparo no son aquellas que impusieron las penas privativas de libertad sino las que aprobaron el licenciamiento definitivo del penado aplicando 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22 de septiembre de 2010 (según sostiene el demandante) o si, en cambio, no la extingue hasta el día 5 de mayo de 2022 (como es el criterio de las resoluciones de la Audiencia Nacional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lo que determinaría que la pérdida de la finalidad del amparo, caso de otorgarse el mismo, sería sólo parcial y puede atemperarse otorgando al recurso una tramitación preferente” (FJ 3). A lo anterior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-en la línea de lo que constituye la práctica habitual en aquellos casos en los que resulta directamente afectado el derecho a la libertad-, a la vista de los motivos de amparo y de los derechos fundamentales en juego, este Tribunal proceda a la tramitación y resolución urgente del recurso (AATC 419/1997, de 22 de diciembre; 267/1998, de 26 de noviembre; 369/2005, de 24 de octubre y 214/2007, de 16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Javier Martínez Izaguirre en el recurso de amparo núm. 8326-2010.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