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octubre de 2011, la Procuradora de los Tribunales doña Valentina López Valero, en nombre y representación de la formación política Coalición Anticapitalista por la provincia de Valladolid interpuso recurso de amparo electoral contra la resolución de la Junta Electoral Provincial de Valladolid de 24 de octubre de 2011 y frente a la Sentencia del Juzgado de lo Contencioso-Administrativo núm. 3 de Valladolid de 28 de octubre de 2011, por la que se desestimó el recurso contencioso-electoral planteado frente a la mencionada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formación política Coalición Anticapitalista por la provincia de Valladolid interpuso recurso contencioso-electoral contra la resolución de la Junta Electoral Provincial de Valladolid de 24 de octubre de 2011 (“Boletín Oficial del Estado” de 25 de octubre), por la que se denegó la proclamación de las candidaturas de dicha coalición al Congreso de los Diputados y el Senado por la provincia Valladolid en las elecciones generales a celebrar el 20 de noviembre de 2011, al no haber cumplido dicho partido, que no obtuvo representación parlamentaria en las anteriores elecciones generales, el requisito establecido en el art. 169.3 de la Ley Orgánica del régimen electoral general (LOREG), en la redacción dada por la Ley Orgánica 2/2011, de 28 de enero, —haber conseguido la firma de al menos el 0,1 por 100 de los electores inscritos en el censo electoral de la circunscripción por la que el partido pretenda presentarse, en este caso la circunscripción de Valladolid—. La coalición acreditó 218 avales válidos (de los 250 presentados), frente a los 434 exigibles.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Interpuesto recurso contencioso-electoral frente a dicha resolución, fue desestimado por Sentencia del Juzgado de lo Contencioso-Administrativo núm. 3 de Valladolid (procedimiento electoral núm. 3-2011) de 28 de octubre de 2011. Razonaba el órgano judicial en la Sentencia que la coalición demandante pretende plantear un recurso indirecto de inconstitucionalidad contra el art. 169.3 LOREG, pretensión que considera por completo ajena al objeto del recurso contencioso-electoral.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formación política recurrente que las resoluciones impugnadas vulneran el pluralismo político (art. 1.1 CE) que expresan los partidos políticos (art. 6 CE), en relación con el derecho de asociación (art. 22 CE) y el derecho de participación política (art. 23.2 CE), y el mandato a los poderes públicos de remover los obstáculos que impidan la participación política (art. 9.2 CE). La coalición recurrente argumenta que el requisito del art. 169.3 LOREG atenta contra la soberanía popular, y destruye la esencia democrática y el pluralismo político, al establecer un control preventivo de la voluntad popular que impide que puedan concurrir a un proceso electoral opciones ideológicas minoritarias. Además, aduce que la norma introduce un distinto tratamiento a los partidos que es desproporcionado y carece de justificación, ya que el referido requisito no se exige a los partidos con representación parlamentaria.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también la vulneración del derecho que consagra el art. 18.1 CE, argumentando que el requisito del art. 169.3 LOREG atenta contra el derecho a la intimidad de los avalistas, pues para avalar una candidatura se han de facilitar datos personales (nombre y apellidos, documento nacional de identidad y circunscripción electoral en la que se esté censado).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 y el derecho a la intimidad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un adecuado examen de las alegaciones aducidas este recurso de amparo debe señalarse que las invocaciones al valor superior del pluralismo político (art. 1.1 CE), que expresan los partidos políticos (art. 6 CE), y el mandato de los poderes públicos de remover los obstáculos que impiden la participación política, aunque no son derechos susceptibles de amparo constitucional, dados los términos en los que han sido alegados en la demanda amparo, deben reconducirse al parámetro de control dispensado por la invocación del derecho fundamental previsto en el art. 23.2 CE. A la misma conclusión debe llegarse respecto de la alegación relativa al derecho de asociación (art. 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 los referidos derechos fundamentales,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STC 163/2011, de 2 de noviembre. 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debe señalarse que la mencionada STC 163/2011, de 2 de noviembre, FJ 8, también se pronuncia sobre la eventual incidencia que tendría la exigencia de avales en el derecho a la intimidad de los avalistas o en su derecho a no declarar sobre su ideología y pone de manifiesto que, conforme a reiterada doctrina constitucional, entre los aspectos básicos de la vida privada protegidos por la intimidad, a la ideología y creencias, no se encuentran los datos referentes a la participación en la vida política, por ser una actividad cuya propia naturaleza se desarrolla en la esfera pública, con excepción del derecho de sufragio activo, dado el carácter secreto del voto (por todas, STC 85/2003, de 8 de mayo, FJ 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se impugna el acuerdo de la Junta Electoral Provincial de Pontevedra de no proclamar la candidatura de la coalición recurrente (y la Sentencia que confirmó su adecuación a Derecho), con fundamento en el incumplimiento de la exigencia de aportación de avales prevista en el art. 169.3 LOREG, y que dicho precepto no puede ser considerado lesivo de los arts. 18.1 y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