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2011, el Procurador de los Tribunales don Carlos Badía Martínez, en nombre y representación de la formación política Partido Familia y Vida interpuso recurso de amparo electoral contra la resolución de la Junta Electoral Provincial de Barcelona de 24 de octubre de 2011 y frente a la Sentencia del Juzgado de lo Contencioso-Administrativo núm. 13 de Barcelona de 29 de octubre de 2011, por la que se desestimó el recurso contencioso electoral planteado frente a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partido político demandante de amparo, que no había obtenido representación parlamentaria en la anterior convocatoria electoral, presentó su candidatura a las elecciones generales convocadas por Real Decreto 1329/2011, de 26 de septiembre, por la circunscripción de Barcelona, adjuntando 2.156 firmas de apoyo. La Junta Electoral Provincial de Barcelona, mediante resolución de 24 de octubre de 2011, publicada en el “Boletín Oficial del Estado” del siguiente día 25 de octubre, acordó, tras las comprobaciones oportunas, no proclamar la candidatura habida cuenta el defecto no subsanable advertido y cifrado en el hecho de que el citado número de avales presentados quedaba muy lejos de las 4.028 firmas de electores inscritos en el censo electoral necesarias para alcanzar el 0,1 por 100 de dicho censo que exige el art. 169.3 de la Ley Orgánica del régimen electoral general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decisión el partido recurrente en amparo interpuso recurso contencioso electoral denunciando la vulneración de los arts. 14, 16 y 23.2 CE, y que fue tramitado bajo el núm. 553-2011 por el Juzgado de lo Contencioso-Administrativo núm. 13 de Barcelona. Por Sentencia de 28 de octubre de 2011 el órgano judicial desestimó el recurso por considerar, en síntesis, que el art. 169.3 LOREG establece un requisito razonable, proporcionado y que responde a un fin constitucionalmente legítimo (asegurar la seriedad del proceso electoral), y que no pugna tampoco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formación política recurrente que las resoluciones impugnadas han vulnerado el derecho de acceso a los cargos públicos en condiciones de igualdad (art. 23.2 CE), porque, en su criterio, la exigencia del art. 169.3 LOREG establece una limitación injustificada y desproporcionada en el citado derecho constitucional. También aduce la infracción del principio de no discriminación del art. 14 CE, toda vez que, a su juicio, la presentación de avales que exige el art. 169.3 LOREG discrimina y grava sin ninguna justificación razonable a los ciudadanos integrados en su candidatura, que no obtuvo representación en la anterior convocatoria de elecciones generales, respecto de las personas que concurren en listas de partidos con representación parlamentaria. Y por último sostiene que esta exigencia legal vulnera el derecho a no ser obligado a declarar sobre la propia ideología (art. 16.2 CE), pues la comentada exigencia del art. 169.3 LOREG obliga a los avalistas a proporcionar datos personales que revelan su ideología.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 el derecho a la a la no discriminación (art. 14 CE) y el derecho a no ser obligado a declarar sobre su ideología (art. 16.2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señalar en primer lugar que la queja por la que se aduce la vulneración del principio de igualdad (art. 14 CE) ha de entenderse subsumida, de acuerdo con reiterada doctrina constitucional, en el derecho de acceso a los cargos públicos (art. 23.2 CE), que es el que, en su caso, pudiera haber resultado directamente transgredido.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en realidad se cuestiona es si el requisito legal impuesto por el art. 169.3 LOREG para la presentación de candidaturas por partidos políticos, federaciones o coaliciones que no hubieran obtenido representación parlamentaria en la anterior convocatoria electoral resulta lesivo o no de los referidos derechos fundamentales,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 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debe señalarse la mencionada STC 163/2011, de 2 de noviembre, FJ 8, también se pronuncia sobre la eventual incidencia que tendría la exigencia de avales en el derecho de los avalistas o en su derecho a no declarar sobre su ideología y pone de manifiesto que es “obvio que quien voluntariamente decide apoyar con su firma la presentación de una candidatura a las elecciones no está siendo obligado a declarar sobre su ideología, como también lo es que avalar una determinada candidatura no equivale necesariamente a manifestar una inequívoca adhesión ideológica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se impugna el acuerdo de la Junta Electoral Provincial de Pontevedra de no proclamar la candidatura de la coalición recurrente (y la Sentencia que confirmó su adecuación a Derecho), con fundamento en el incumplimiento de la exigencia de aportación de avales prevista en el art. 169.3 LOREG, y que dicho precepto no puede ser considerado lesivo de los arts. 16.2 y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