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1403-2007, promovido por don José Cándido Zubikarai Badiola, representado por el Procurador de los Tribunales don José Javier Cuevas Rivas y asistido por el Abogado don Iñaki Goioaga Llano, contra las providencias de 1 de septiembre y 16 de noviembre de 2006 y el Auto de 11 de enero de 2007 dictados por la Sección Segunda de la Sala de lo Penal de la Audiencia Nacional en la ejecutoria núm. 20-1992. Ha intervenido el Ministerio Fiscal.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febrero de 2007, el Procurador de los Tribunales don José Javier Cuevas Rivas, en nombre y representación de don José Cándido Zubikarai Badiola,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Zubikarai Badiola fue condenado por la Sala de lo Penal de la Audiencia Nacional, Sección Segunda, mediante Sentencia de 20 de octubre de 1990 (rollo de sala 26-1989, sumario 17-1989 del Juzgado Central de Instrucción núm. 2), a la pena de veintisiete años de reclusión mayor e inhabilitación absoluta durante igual tiempo por un delito de asesinato con la agravante de alevosía. Recurrida esta Sentencia en casación, fue confirmada por Sentencia de la Sala de lo Penal del Tribunal Supremo de 3 de febrero de 1992. Permanecía en prisión preventiva por esta causa desde el 20 de abril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Zubikarai Badiola fue condenado también por Sentencia de la misma Sala y Sección de la Audiencia Nacional de 24 de febrero de 1992 (procedimiento dimanante de las diligencias previas 88-1989 del Juzgado Central de Instrucción núm. 5) a la penas de ocho años de prisión mayor y multa de 200.000 pesetas, por un delito de colaboración con banda armada.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la misma Sala y Sección de 20 de octubre de 1993 se procedió, de conformidad con lo dispuesto en los arts. 17.5 y 988 de la Ley de enjuiciamiento criminal y el art. 70, regla 2, del Código penal de 1973 (CP 1973), a la refundición de las condenas impuestas al señor Zubikarai Badiola y se fijó el límite máximo de la condena total a cumplir en la duración de 30 años de privación de libertad. Dicho Auto alcanzó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refundición de condenas, el Secretario Judicial de la Sala practicó el 8 de noviembre de 1993 liquidación de las condenas impuestas al señor Zubikarai Badiola, fijando como fecha de cumplimiento definitivo el día 12 de abril de 2019, una vez descontado del total el tiempo que permaneció en prisión preventiva por dichas causas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la misma Sala y Sección de 18 de junio de 1996, asimismo firme, se acordó, conforme a las disposiciones transitorias del nuevo Código penal de 1995 (CP 1995), que no procedía revisar las penas impuestas al señor Zubikarai Badiola.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de 1 de septiembre de 2006, la Sección Segunda de la Sala de lo Penal de la Audiencia Nacional aprobó la propuesta de cumplimiento definitivo de condena del señor Zubikarai Badiola realizada por el centro penitenciario de Alicante II, en el que se encontraba en ese momento interno, fijando como nueva fecha de cumplimiento y excarcelación el 25 de octubre de 2011, en aplicación del criterio jurisprudencial de cómputo de la redención de penas por el trabajo en penas acumuladas establecido por la Sentencia de la Sala de lo Penal del Tribunal Supremo núm. 197/2006, de 28 de febrero, sin perjuicio de las redenciones que le pudieran ser aplicadas en su día, rechazando, al mismo tiempo, la propuesta alternativa del centro penitenciario que fijaba como fecha de licenciamiento definitivo el día 26 de octubre de 2006, resultado de aplicar el criterio de cómputo anterior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presentado el 25 de octubre de 2006 la representación procesal del señor Zubikarai Badiola solicitó a la Sección Segunda de la Sala de lo Penal de la Audiencia Nacional su puesta en libertad, alegando que el cumplimiento definitivo de su condena se debía producir el 26 de octubre de 2006 y rechazando la aplicación del criterio establecido por la Sentencia de la Sala de lo Penal del Tribunal Supremo núm. 197/2006, de 28 de febrero, con invocación de la lesión de los principios de irretroactividad de las normas penales desfavorables y seguridad jurídica (art. 9.3 CE), del principio de igualdad (art. 14 CE), del derecho a la libertad (art. 17 CE), del derecho a la tutela judicial efectiva en la vertiente de intangibilidad de las resoluciones judiciales firmes (art. 24.1 CE), del derecho de defensa (art. 24.2 CE), y del principio de legalidad penal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providencia de 16 de noviembre de 2006 la Sección Segunda de la Sala de lo Penal de la Audiencia Nacional acordó mantener su anterior providencia de 1 de septiembre de 2006, en la que se acordó como fecha de cumplimiento definitivo de la condena del recurrente el día 25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señor Zubikarai Badiola interpuso recurso de súplica contra la providencia de 16 de noviembre de 2006, reproduciendo la petición de puesta en libertad formulada en su escrito de 25 de octubre de 2006 y reiterando la denuncia de vulneración de los mismos derechos fundamentales y principios constitucionales invocados en dicho escrito. La Sección Segunda de la Sala de lo Penal de la Audiencia Nacional dictó Auto de fecha 11 de enero de 2007, por el que, tras reiterar la aplicación al caso del nuevo criterio establecido por la citada Sentencia de la Sala de lo Penal del Tribunal Supremo núm. 197/2006, de 28 de febrero, rechazó la existencia de lesión constitucional alguna y, en su parte dispositiva, acordó desestimar el recurso de súplica interpuesto contra la resolución de 1 de septiembre de 2006, que se mantuvo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los siete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tutela judicial efectiva sin indefensión (art. 24.1 CE) y de los derechos a la defensa, a ser informado de la acusación y a un proceso con todas las garantías (art. 24.2 CE), así como de los derechos reconocidos por los arts. 6 y 13 del Convenio europeo para la protección de los derechos humanos y de las libertades fundamentales (CEDH) y por el art. 14.1 y 5 del Pacto internacional de derechos civiles y políticos (PIDCP), todo ello en relación con el derecho a la libertad (art. 17 CE). Sostiene el recurrente que la Audiencia Nacional acordó en las resoluciones impugnadas la aplicación de la nueva doctrina de la Sala de lo Penal del Tribunal Supremo sentada en la Sentencia núm. 197/2006, de 28 de febrero, que establece un nuevo criterio en cuanto al cómputo de las redenciones por trabajo que empeoraba la situación del reo y obliga al cumplimiento íntegro de la condena de treinta años, decisión de la que el recurrente no ha podido defenderse ni someterla a contradicción, y que compromete, en consecuencia, la imparcialidad de la Audiencia Nacional. Por otra parte, sostiene el recurrente que la Audiencia Nacional, al aplicar la nueva doctrina del Tribunal Supremo sin oírle previamente ha impedido su derecho a la segunda instancia, pues el Tribunal Constitucional es el primer órgano al que se ha podido dirigir el recurrente para reclamar frente a la indefensión creada.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aduce la vulneración del principio de legalidad (art. 25 CE, en relación con el art. 9.3 CE), por la interpretación realizada por la Audiencia Nacional de los arts. 70.2 y 100 CP 1973, así como de los arts. 66 del reglamento de prisiones de 1956 y del art. 202 del reglamento penitenciario actual. Según el recurrente la interpretación sentada por la Sala de lo Penal del Tribunal Supremo en su Sentencia núm. 197/2006, de 28 de febrero, y aplicada en el presente caso por la Audiencia Nacional,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denuncia el recurrente la vulneración del derecho a la tutela judicial efectiva sin indefensión (art. 24.1 CE), en cuanto garantiza la intangibilidad de las resoluciones judiciales firmes, en relación con el derecho a la libertad (art. 17 CE). Sostiene el recurrente que la nueva interpretación del cómputo de las redenciones sobre la totalidad de la condena que realiza la Sala de lo Penal del Tribunal Supremo en su Sentencia núm. 197/2006, de 28 de febrero, aplicada en su caso por la Audiencia Nacional en las resoluciones impugnadas en amparo, le genera indefensión e inseguridad jurídica, puesto que las redenciones aprobadas por los Juzgados de Vigilancia Penitenciaria, intangibles y firmes, aplicadas (como se venía haciendo) al tope de treinta años, suponían una expectativa de importante acortamiento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aduce la lesión del principio de legalidad (art. 25.1 CE, en relación con el art. 9.3 CE, así como el art. 7 CEDH y el art. 15 PIDCP), por aplicación retroactiva de una ley desfavorable. Se denuncia por el recurrente que las resoluciones judiciales impugnadas, al seguir el nuevo criterio establecido por la Sala de lo Penal del Tribunal Supremo en su Sentencia núm. 197/2006, de 28 de febrero, están aplicando retroactivamente el art. 78 CP 1995 a un penado bajo el Código penal de 1973, norma ésta que el recurrente considera como ley más favorable, en la medida en que las redenciones incidían sobre la liquidación de condena, acortando el tiempo de internamiento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quinto motivo de amparo se alega la lesión del derecho a la igualdad en la aplicación de la ley (art. 14 CE), en relación con el art. 14 CEDH. Denuncia el recurrente que las resoluciones judiciales impugnadas incurren en un injustificado y arbitrario cambio de criterio al aplicar la Sentencia de la Sala de lo Penal del Tribunal Supremo núm. 197/2006, de 28 de febrero, que rompe con la jurisprudencia anterior al respecto, en un momento en que el Código penal de 1973 ya está derogado y resulta aplicable a un número muy limitado de internos, sin que existan razones que justifiquen dicho cambio de criterio. Se afirma que se trata de cambio de criterio ad personam, constitucionalmente vedado, del que resulta que al recurrente se le deniega de manera discriminatoria lo que a otros muchos presos se les concedió. Añade, más específicamente, que dicho trato desigual se pone de manifiesto en relación con otro coimputado en la misma causa —el señor Urdiain Ciriza— de quien, se afirma, fue puesto en libertad definitiva el 25 de enero de 2006, pese a haber sido condenado por los mismos hechos y a las mismas penas, lo que pondría de relieve que a él sí se le han aplicado los beneficios penitenciarios con otra forma de cómputo.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sexto motivo de amparo se alega la vulneración del derecho a la libertad (art. 17.1 CE), en relación con los arts. 5 y 7.1 CEDH y los arts. 9.1 y 5 y 15.1 PIDCP. Tras resaltar que, conforme a la doctrina de este Tribunal, la redención de penas por el trabajo afecta al derecho a la libertad personal, se sostiene por el recurrente, con cita del voto particular a la Sentencia de la Sala de lo Penal del Tribunal Supremo núm. 197/2006, de 20 de febrero, que el mencionado cambio de criterio jurisprudencial contra reo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recurrente alega la vulneración del art. 25.2 CE, en relación con las “Reglas mínimas para tratamiento de los reclusos” elaboradas en el primer Congreso de las Naciones Unidas sobre prevención del delito y tratamiento del delincuente (Ginebra, 1955) y el art. 10.3 PIDCP. Se aduce que, de conformidad con el art. 25.2 CE y la citada normativa internacional, las penas privativas de libertad han de estar orientadas a la reinserción social, fin al que se orienta la redención de penas por el trabajo como instrumento de tratamiento penitenciario, principios y normas que resultan vulnerados por la interpretación realizada por el Tribunal Supremo en su Sentencia núm. 197/2006, de 28 de febrero, aplicada por la Audiencia Nacional en las resoluciones impugnadas en amparo, al dejar sin efecto útil alguno la redención de penas y la libertad condicional en presos con condenas superiores a cuarenta y cinco años (conforme a los cálculos realizados por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11 de abril de 2007, el Procurador de los Tribunales don José Javier Cuevas Rivas, en nombre y representación del demandante de amparo, solicitó la suspensión de las resoluciones impugnadas al considerar que la ejecución ocasiona un perjuicio que haría perder al amparo su finalidad ya que se encuentra en prisión, cumpliendo una condena más allá del límite máximo establecido en el art. 70.2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25 de mayo de 2007 la Sala Primera de este Tribunal acordó la admisión a trámite de la demanda de amparo y, a tenor de lo dispuesto en el art. 51 de la Ley Orgánica del Tribunal Constitucional (LOTC), requerir atentamente a la Sección Segunda de la Sala de lo Penal de la Audiencia Nacional para que en el plazo de diez días remitiera testimonio de la ejecutoria núm. 20-1992 (dimanante del sumario 17-1989 del Juzgado Central de Instrucción núm. 2), interesándose al propio tiempo el emplazamiento de quienes fueron parte en el procedimiento, a excepción del demandante de amparo, ya personado, para que pudieran comparecer en el plazo de diez días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 Concluida la tramitación del incidente, la Sala Primera acordó denegar la suspensión interesada por ATC 366/2007,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 18 de julio de 2007 se tuvo por recibido el testimonio de las actuaciones remitido por la Sección Segunda de la Sala de lo Penal de la Audiencia Nacional, y asimismo se procedió, conforme a lo establecido en el art. 52.1 LOTC, a dar vista de las actuaciones por plazo común de veinte días al Ministerio Fiscal y a las partes personadas para presentar las alegaciones que estimasen pertinentes. Dicho plazo fue ampliado por otros veinte días en virtud de la diligencia de ordenación del Secretario de Justicia de la Sala Primera de 8 de noviembre de 2007, como consecuencia de la aportación por la representación procesal del recurrente de las copias de las resoluciones judiciales que le fueron requeridas, a instancias del Ministerio Fiscal por diligencia de ordenación del Secretario de Justicia de la Sala Primera de 15 de octubre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 escrito de alegaciones en este Tribunal el 12 de diciembre de 2007, en el que ratifica las formuladas en la demanda de amparo, las cuales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en este Tribunal su escrito de alegaciones el 12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concurre en el presente caso el óbice de falta de invocación formal en el proceso de los derechos fundamentales que se consideran vulnerados tan pronto como, una vez producida la vulneración, hubiera lugar a ello [art. 44.1 c) LOTC], lo que debe determinar la inadmisión del recurso de amparo (SSTC 171/1992, 153/1999 y 132/2006, por todas). Ello es así por cuanto el recurrente no interpuso recurso alguno contra la providencia de 1 de septiembre de 2006 de la Sección Segunda de la Sala de lo Penal de la Audiencia Nacional (notificada el siguiente 4 de septiembre a su representación procesal) por la que se fijó como fecha de cumplimiento definitivo de su condena el 25 de octubre de 2011, en aplicación del criterio establecido por la Sentencia de la Sala de lo Penal del Tribunal Supremo núm. 197/2006, de 28 de febrero. Dicha providencia, que se recurre per saltum en amparo, es la que ocasiona la pretendida lesión de los derechos fundamentales que se alegan en la demanda de amparo, sin que el incumplimiento del requisito establecido en el art. 44.1 c) LOTC pueda entenderse sanado por la estrategia procesal posterior del recurrente de provocar una nueva resolución (la providencia de 16 de noviembre de 2006, esta sí recurrida en súplica), confirmatoria de la precedente, mediante la presentación el 25 de octubre de 2006 del escrito solicitando a dicha Sala y Sección su puesta en libertad por cumplimiento definitivo de su condena el 26 de octubre de 2006, rechazando la aplicación del criterio establecido por la referida Sentencia del Tribunal Supremo núm. 197/2006, e invocando los derechos fundamentales que considera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entiende el Fiscal que, al haber consentido el recurrente la providencia de 1 de septiembre de 2006, concurre también el óbice de falta de agotamiento de los recursos utilizables dentro de la vía judicial [art. 44.1 a) LOTC], lo que debe conducir igualmente a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este Tribunal no comparta la apreciación sobre la existencia de los referidos óbices de inadmisibilidad, procede a continuación el Fiscal a analizar los motivos de la demanda de amparo, considerando que los numerados como segundo, tercero y sexto constituyen la médula del amparo que se solicita, mientras que los motivos de amparo restantes carecen de fundamento y deben ser rechazados, según el Fiscal, por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ante todo debe ser rechazada la pretendida vulneración del art. 25.2 CE (motivo séptimo de amparo) porque, como reiteradamente ha destacado este Tribunal, dicho precepto constitucional no contiene un derecho fundamental del ciudadano susceptible de ser invocado en amparo, sino más bien un mandato dirigido al legislador para orientar la política penal y penitenciaria con objeto de que configure las sanciones penales para que cumplan estos fines de reinserción rehabilitación establecidos en la Constitución, sin que se deriven derechos subjetivos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Carece asimismo de fundamento la queja del recurrente referida a la infracción del derecho a la tutela judicial efectiva, a la que asocia la de sus derechos de defensa, a ser informado de la acusación, a un proceso público y con todas las garantías y a un juicio justo, todo ello en relación con el derecho a la libertad, porque la Audiencia Nacional no le dio trámite de audiencia antes de dictar la providencia que acordó la aplicación de la nueva doctrina establecida por la Sala de lo Penal del Tribunal Supremo en su Sentencia núm. 197/2006, de 28 de febrero (motivo de amparo primero), pues lo cierto es que el recurrente tuvo la efectiva oportunidad de ser oído, en primer lugar cuando formuló su petición de libertad mediante el escrito que presentó el 25 de octubre de 2006, y luego al interponer su recurso de súplica contra la providencia de 16 de noviembre de 2006. En cuanto a la imposibilidad de recurrir en casación, la queja carece asimismo de fundamento, pues no es el órgano judicial quien le ha vedado de un recurso, legalmente inexistente, a lo que cabe añadir que la exigencia de doble instancia penal lo es para Sentencias penales condenatorias, no para controversias sobre la ejecución de una condena, como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tampoco vulneración del principio de legalidad penal conectado al de irretroactividad de las normas penales y restrictivas de derechos (motivo de amparo cuarto), pues no tiene fundamento alguno sostener que se han vulnerado dicho principio de irretroactividad de la ley penal por haber hecho aplicación del contenido del art. 78 CP 1995 bajo el ropaje aparente del art. 70.2 CP 1973, toda vez que el precepto que se ha aplicado ha sido siempre el art. 70.2 CP 1973, de vigencia al tiempo de comisión de los hechos, y sobre el que ha recaído la interpretación sentada en la Sentencia de la Sala de lo Penal del Tribunal Supremo núm. 197/2006, de 28 de febrero, y no el art. 78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tampoco cabe apreciar lesión del derecho fundamental a la igualdad en la aplicación de la ley que garantiza el art. 14 CE (motivo de amparo quinto), ante todo porque el órgano judicial que ha dictado las resoluciones impugnadas en amparo es distinto del que ha dictado la Sentencia cuya doctrina ha generado, supuestamente, la situación personal discriminatoria; y, en segundo término porque, aun cuando hubiera existido en la Sala de lo Penal del Tribunal Supremo el criterio de apartarse de una anterior línea jurisprudencial uniforme, no cabe sino reconocer que la Sentencia en cuestión se fundamenta en un conjunto de razonamientos en interpretación de la legalidad aplicable al caso que, desde la perspectiva de la racionalidad, justifican dicho eventual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 que resulta relevante según el Fiscal, como se desprende de los motivos segundo, tercero y sexto de la demanda de amparo, es la aplicación del nuevo criterio jurisprudencial surgido de la citada Sentencia de la Sala de lo Penal del Tribunal Supremo núm. 197/2006, de 28 de febrero, a situaciones ya reconocidas por resoluciones firmes, en referencia al Auto de 20 de octubre de 1993 de la Sección Segunda de la Sala de lo Penal de la Audiencia Nacional que refundió las condenas impuestas al recurrente y señaló como pena única a cumplir la de treinta años, así como a las liquidaciones de condena que siguieron a ese Auto con aplicación de las redenciones que se iban produciendo (antes de dictarse las resoluciones judiciales impugnadas en amparo), lo que resulta perjudicial para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firmeza de las referidas resoluciones impide, a juicio del Fiscal, la revisión de ese criterio en virtud de una jurisprudencia posterior porque ello rompe con las legítimas expectativas del interno y lesiona su derecho a la intangibilidad de las resoluciones judiciales firmes, que forma parte del derecho a la tutela judicial efectiva garantizado por el art. 24.1 CE, y supone asimismo una interpretación retroactiva desfavorable para el reo en la ejecución de las penas, lo que determina la vulneración del principio de legalidad penal (art. 25.1 CE). A estas vulneraciones debe añadirse, según el Fiscal, y como consecuencia inexcusable de las mismas, la vulneración del derecho a la libertad personal (art. 17.1 CE), por cuanto el recurrente, en vez de obtener en la fecha prevista el licenciamiento definitivo de su condena, lo obtendría en fecha muy posterior por aplicación de esa nueva y desfavorable interpretación de la normativa realizada por la Sala de lo Penal del Tribunal Supremo en su Sentencia núm. 197/2006, de 28 de febrero, aplicada por la Audiencia Nacional en las resoluciones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con carácter principal, la inadmisión del recurso de amparo por falta de invocación formal en el proceso de los derechos fundamentales que se consideran vulnerados y por falta de agotamiento de los recursos utilizables dentro de la vía judicial [art. 50.1 a) LOTC, en relación con los arts. 44.1 a) y c) LOTC, en la redacción anterior a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de entenderse que no concurren los referidos óbices, el Fiscal interesa la estimación parcial del amparo, en lo referente a declarar vulnerado el derecho a la tutela judicial efectiva en su vertiente intangibilidad de las resoluciones judiciales firmes (art. 24.1 CE), en conexión con el derecho a la irretroactividad de interpretaciones desfavorables para el reo (art. 25.1 CE) y el derecho a la libertad personal (art. 17.1 CE), procediendo desestimar la demanda de amparo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del otorgamiento del amparo ha de ser, según el Fiscal, la anulación de las providencias y Auto impugnados, para que se dicte nueva resolución por la Sección Tercera de la Sala de lo Penal de la Audiencia Nacional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junio de 2011, el Pleno, de conformidad con lo establecido en el art. 10.1 n) LOTC y a propuesta de la Sala Primera,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marzo de 2012,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11 de enero de 2007, de la Sección Segunda de la Sala de lo Penal de la Audiencia Nacional, que desestimó el recurso de súplica presentado contra la anterior providencia de 1 de septiembre de 2006 que acordó haber lugar a aprobar el cumplimiento definitivo de la pena impuesta al demandante con fecha 25 de octubre de 2011, sin perjuicio de las redenciones que le pudieran ser aplicadas en su día, conforme al criterio de la Sentencia núm. 197/2006, de 28 de febrero, de la Sala Segunda del Tribunal Supremo. Según dicha Sentencia, en caso de penas acumuladas la redención de penas por el trabajo obtenida ha de computarse sobre cada una de las penas impuestas y no sobre el límite máximo de cumplimiento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de las infracciones y sanciones (art. 25.1 y 2 CE), a la libertad personal (art. 17.1 CE) y a la igualdad en la aplicación de la ley (art. 14 CE), con la argumentación que ha quedado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inadmisión del recurso por concurrir dos óbices procesales: la tempestiva invocación de las lesiones aducidas tan pronto se produjeron y la falta de agotamiento de la vía judicial previa pues, en su opinión, el demandante se aquietó con la resolución de 1 de septiembre de 2006 que fijó la fecha de su licenciamiento definitivo en octubre de 2011. Subsidiariamente, para el caso de que no se apreciase la existencia de los óbices procesales alegados, apoya la estimación del recurso presentado, por entender que la aplicación del nuevo criterio jurisprudencial fijado en la referida Sentencia 197/2006 del Tribunal Supremo, supone la vulneración de los derechos fundamentales consagrados en los arts. 17.1, 24.1 y 25.1 CE, por afectar a situaciones ya reconocidas por resoluciones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actuaciones recabadas del Tribunal sentenciador nos impide apreciar los óbices de procedibilidad aducidos por el Ministerio Fiscal en su escrito de alegaciones basados en haber consentido el penado la providencia de 1 de septiembre de 2006 que, como se ha dicho, fijó la fecha de su licenciamiento definitivo en el mes de octubre de 2011. Basta la simple lectura del Auto de 11 de enero de 2007, que el recurrente aduce como resolución que puso fin a la vía judicial previa, para constatar que, frente a lo aducido por el Ministerio Fiscal, en su parte dispositiva el Tribunal sentenciador afirma que el recurso de súplica interpuesto lo fue contra dicha providencia inicial y no contra la posterior de 16 de noviembre, por lo cual, cualesquiera que fueran las vicisitudes procesales de la impugnación, el órgano judicial tuvo por recurrida la providencia de 1 de septiembre de 2006 y revisó, al resolver la súplica, la decisión anterior por la que determinó la fecha de cumplimiento definitivo de la condena, pudiendo así pronunciarse sobre la necesidad de reparar las supuestas vulneraciones aducidas, lo que salvaguarda la subsidiariedad del recurso de amparo, que es fundamento del requisito de admisibilidad aducido.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se refiere a las quejas formuladas en la demanda, bajo la invocación de los derechos a la tutela judicial efectiva sin indefensión (art. 24.1 CE), a ser informado de la acusación y a un proceso con todas las garantías (art. 24.2 CE), se denuncia, en primer lugar, la supuesta indefensión que le habría producido el hecho de que la primera de las resoluciones recurridas —la providencia de 1 de septiembre de 2006— se adoptó sin haberle dado audiencia previa al demandante, pese a que la propuesta del centro penitenciario ofrecía dos fechas alternativas de licenciamiento definitivo, cuestión ésta que afectaba decisivamente a su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la queja tiene base fáctica, pues la secuencia procesal descrita por el demandante fue la seguida por el Tribunal encargado de la ejecución de las penas impuestas; sin embargo ha de ser inadmitida al concurrir respecto de ella, esta vez sí, el óbice procesal consistente en la falta de invocación ante los órganos de la jurisdicción ordinaria [art. 44.1 c) de la Ley Orgánica del Tribunal Constitucional]. En efecto, de la mera lectura del recurso de súplica interpuesto contra las providencias dictadas en fase de ejecución se desprende que el recurrente articuló una serie de motivos de impugnación para oponerse a esa nueva perspectiva jurídica en el cómputo de las redenciones (lo que, en opinión del Ministerio Fiscal, excluiría por sí mismo la indefensión denunciada), pero no denunció entonces indefensión alguna por el motivo ahora analizado, por lo que la alegada queja se trae en amparo sin haber dado oportunidad de pronunciarse sobre la misma al órgano judicial.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del planteamiento inserción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dentro del primero de los motivos de amparo, se aduce la vulneración del derecho a un recurso efectivo y a la segunda instancia penal. Tampoco esta queja puede prosperar, puesto que el recurrente —en contra de lo que sostiene— sí tuvo acceso al recurso legalmente previsto (el recurso de súplica), que no fue inadmitido sino resuelto y desestimado por Auto de 11 de enero de 2007. En dicha resolución el Tribunal sentenciador rechazó expresamente los motivos de impugnación que le fueron planteados permitiendo así al penado conocer la ratio decidendi de la desestimación. A lo expuesto ha de añadirse, como señala el Ministerio Fiscal en sus alegaciones, que carece de fundamento constitucional la pretendida aplicación a un supuesto como éste de la doctrina relativa a la exigencia de un doble grado de jurisdicción en materia penal, puesto que no está en cuestión el derecho a la revisión del fallo condenatorio y la pena por un Tribunal superior. Este derecho, consagrado expresamente en el art. 14.5 del Pacto internacional de derechos civiles y políticos y en el art. 2 del Protocolo 7 del Convenio europeo para la protección de los derechos humanos y de las libertades fundamentales, finalmente ratificado por España el pasado 28 de agosto de 2009, forma parte de las garantías del proceso justo consagradas en el art. 24.2 CE (por todas, SSTC 42/1982, de 5 de julio, FJ 3; 76/1982, de 14 de diciembre, FJ 5; 70/2002, de 3 de abril, FJ 7; y 116/2006, de 24 de abril, FJ 5), pero no es posible extender su alcance —como solicita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los restantes motivos de amparo, alegando siempre que su libertad personal se ha visto ilegítimamente afectada (art. 17.1 CE), denuncia el demandante desde diversas perspectivas constitucionales la cuestión de fondo, esto es, la aplicación a las condenas privativas de libertad que extingue de un nuevo criterio jurisprudencial, adoptado por el Tribunal Supremo en la interpretación de los arts. 70.2 y 100 del Código penal (CP) 1973 y preceptos concordantes del reglamento penitenciario, en relación con el cómputo de la redención de penas por trabajo en penas acumuladas a las que se ha fijado, según prevé el Código penal, un límite máximo de cumplimiento; en este caso de treinta años de prisión. Según se afirma en la demanda, frente al criterio anterior reiteradamente aplicado por los órganos judiciales, conforme al cual los días redimidos se descontaban del límite máximo de cumplimiento una vez operada la refundición o acumulación de condenas, el Tribunal Supremo, en la Sentencia 197/2006, de 28 de febrero, estableció que el beneficio de la redención de penas por el trabajo reconocido en el art. 100 CP 1973 ha de aplicarse no a ese máximo de cumplimiento, sino a cada una de las penas impuestas en las diversas condenas, de modo que la forma de cumplimiento de las condenas impuestas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reflejado en los antecedentes, el recurrente denuncia en los motivos segundo, cuarto, quinto y sexto de su demanda la supuesta vulneración del principio de igualdad en la aplicación de la ley (art. 14 CE) y del principio de legalidad penal —desde la doble perspectiva de la ilegitimidad del nuevo criterio interpretativo y la aplicación retroactiva de una ley desfavorable (art. 25.1 CE)—, ambos puestos en relación con su derecho a la libertad personal (art. 17.1 CE), dado que se trata del cumplimiento de una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cuya estimación propone el Ministerio Fiscal en su escrito de alegaciones, no pueden ser compartidas dado que el contenido de los derechos alegados no tiene el alcance expresado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hemos de destacar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ya reconocida, sin que de la interpretación sometida a nuestro enjuiciamiento se derive ni el cumplimiento de una pena mayor que la prevista en los tipos penales aplicados, ni la superación del máximo de cumplimiento legalmente previsto. El Tribunal Europeo de Derechos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Grava c. Italia, § 51, en un supuesto referido a la condonación de la pena citando, mutatis mutandis, caso Hogben contra Reino Unido, núm. 11653-1985,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de las infracciones y sanciones (art. 25.1 CE) por aplicación retroactiva del art. 78 CP 1995, tanto en su redacción inicial como en la dada al mismo por la Ley Orgánica 7/2003. En dicho precepto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criterio que deviene obligatorio cuando se trata de penas especialmente graves aunque, no obstante, se prevean algunas excepciones que deberá valorar el Juez de vigilancia penitenciaria (art. 78.2 y 3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era posible a la vista del tenor literal de los arts. 70.2 y 100 CP 1973 y el art. 988 de la Ley de enjuiciamiento criminal (LECrim). Por tanto, teniendo en cuenta el razonamiento de los órganos judiciales y los preceptos que se aplican, la queja carece de base fáctica,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sí pueden ser cuestionados desde otras perspectivas. Una de ellas, alegada en la demanda de amparo, tiene que ver con el contenido del derecho a la igualdad en la aplicación de la ley (art. 14 CE). Sin embargo, tampoco desde esta perspectiva puede apreciarse en el presente caso la vulneración denunciada. Como señala el Ministerio Fiscal, las resoluciones impugnadas, dictadas por la Audiencia Nacional, se limitan a aplicar la doctrina sentada por otro órgano judicial, el Tribunal Supremo, máximo intérprete de la ley, justificando razonadamente el cambio de criterio sobre la forma en el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hay que añadir que para hacer el juicio de igualdad no es válido el término de comparación postulado en la demanda en la que se alega en ésta que un coimputado en la misma causa, condenado a las mismas penas, obtuvo el licenciamiento definitivo el 25 de enero de 2006, pues dicha fecha es anterior en el tiempo a la STS 197/2006, de 28 de febrero, que fue, precisamente, la que estableció el cambio de criterio que sirve como fundamento de la diferente aplicación de la ley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también, por razones atinentes al principio de legalidad, que el demandante no ha sido privado de su libertad personal en supuestos distintos de los establecidos en la ley penal, lo que descarta la alegada vulneración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tercer motivo de amparo denuncia el demandante que la aplicación de la nueva interpretación jurisprudencial que cuestiona, sobre la forma de cómputo de la redención de penas por el trabajo, le genera una situación de indefensión e inseguridad jurídica que vulnera su derecho a la tutela judicial efectiva, en cuanto garantiza la intangibilidad de las resoluciones judiciales firmes (art. 24.1 CE). Sin referencia exacta a ninguna resolución judicial concreta anterior, aduce que la doctrina que le ha sido aplicada modifica la interpretación que hasta entonces se venía haciendo y los derechos que de la misma derivaban. Afirma que realizó las tareas que justificaron la concesión de las redenciones con la convicción de que se descontarían del límite máximo de cumplimiento porque así aparecía en las propuestas de aprobación que formulaba la Administración al Juzgado de Vigilancia Penitenciaria. De tal situación deduce que han de mantenerse las redenciones aprobadas y que las mismas han de ser computadas en la forma que propone, pues no hacerlo es tanto como no reconocerles efectividad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también este razonamiento del demandante por considerar que no es de recibo que “establecidos unos criterios de interpretación normativa para fijar la refundición de condena y establecidos ellos en resolución judicial, pudieran variarse en virtud de una posterior resolución, en este caso de la Sala Segunda del Tribunal Supremo, que interpreta de otra manera las normas atinentes, como lo hacen las resoluciones judiciales ahora recurridas en amparo”. La resolución judicial firme en la que considera el Fiscal que dichos criterios quedaron establecidos de forma intangible sería el Auto de 20 de octubre de 1993 que procedió a refundir las dos condenas impuestas al penado, fijando en treinta años el límite máximo de cumplimiento; resolución judicial en la que, según afirma, “no se explicitan los mecanismos interpretativos, pero sus referencias normativas deben conectarse con la propuesta de liquidación provisional de condena de 8 de noviembre de 1993 y la normativa vigente tal y como era aplicada unánimemente”.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tal y como ha sido alegado, la respuesta judicial obtenida por el recurrente en las resoluciones judiciales que son objeto del presente recurso de amparo, al aplicar el nuevo criterio de cómputo de las redenciones a las penas que extingue, ha supuesto, como afirman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expresado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Zubikarai Badiola fue condenado en octubre de 1990 y febrero de 1992 a las penas de veintisiete años de reclusión mayor y ocho años de prisión mayor, tras ser considerado autor de un delito de asesinato y otro de colaboración con la organización terrorista 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había sido condenado en dos procesos por hechos que pudieron ser objeto de uno sólo, el Tribunal sentenciador, por Auto de 20 de octubre de 1993, procedió a fijar en treinta años el límite máximo de cumplimiento de ambas condenas, de conformidad con lo dispuesto en los arts. 17.5 y 988 LECrim y el art. 70, regla 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decisión, el Secretario Judicial de la Sala practicó el 8 de noviembre de 1993 la liquidación provisional de las condenas impuestas al demandante, según la cual, una vez descontado el tiempo que permaneció en prisión preventiva por dichas causas acumuladas, el demandante extinguiría sus condenas el día 12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entrada en vigor del Código penal de 1995, a fin de determinar si su aplicación le era más favorable (art. 2.2), el Tribunal sentenciador recabó del centro penitenciario donde cumplía condena la certificación prevista en su disposición transitoria tercera. En ella se hace referencia a los beneficios penitenciarios que el penado había obtenido hasta ese momento y las fechas previstas de cumplimiento con cómputo y sin cómputo de tales beneficios penitenciarios. Contrastados tales datos con las penas previstas para los hechos en el nuevo Código penal, el Tribunal acordó, por Auto de 18 de junio de 1996, que no procedía revisar las penas impuestas al demandante con el siguiente razonamiento: “no se considera más favorable el nuevo Código cuando la duración de la pena anterior impuesta al hecho con sus circunstancias sea también imponible con arreglo al nuevo Código”, de lo que el Tribunal dedujo que “tampoco procederá la revisión cuando la antigua pena por aplicación de los beneficios penitenciarios del art. 100 del Código penal vigente y normas complementarias equivalga en términos de cumplimiento real a una pena que también sea imponible, es decir que se encuentre dentro del ámbito punitivo que establezca la nueva norma”, razón ésta por la que acordó no haber lugar a la revisión dado que la pena impuesta conforme al Código penal de 1973 era también imponible conforme al nuevo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hay ninguna otra resolución judicial relevante del Tribunal sentenciador en la ejecutoria hasta que, mediante la providencia de 1 de septiembre de 2006 que es objeto de esta pretensión de amparo, el Tribunal aprobó la propuesta de cumplimiento definitivo de condena del demandante realizada por el centro penitenciario en el que se encontraba en ese momento interno, fijando como nueva fecha de cumplimiento y excarcelación el 25 de octubre de 2011 (veintidós años y seis meses después de ingresar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ninguna de las resoluciones judiciales a las que se refiere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en las que se reconoció al penado determinados días de redención de pena por el trabajo u otras actividades realizadas,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ignoren, o pongan en cuestión la firmeza e intangibilidad de lo decidido en los Autos del Juzgado de Vigilancia Penitenciaria. La providencia que fijó la fecha de licenciamiento definitivo (y el Auto que la ratificó) no dejó sin efecto dichas redenciones sino que, en ejercicio de las competencias que legalmente tiene atribuidas, las computó sucesivamente sobre las dos penas impuestas a efectos de liquidación de condena. El efecto práctico, como ya se ha dicho, es que las penas que sumaban treinta y cinco años de privación de libertad, a las que se había fijado un límite máximo de cumplimiento de treinta años, han sido dadas por extinguidas a los veintiún años y seis meses de ingresar el penado en prisión preventiva por estas causas (en abril de 1989). Por tanto, las redenciones sí han sido tomadas en consideración y han reducido su condena, aunque no en la forma propuesta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Auto de acumulación de condenas y fijación del límite máximo de cumplimiento de 20 de octubre de 1993, que cita el Ministerio Fiscal como resolución intangible que ha sido ilegítimamente desconocida, se limita a hacer efectiva la previsión legal (arts. 988 LECrim y 70.2 CP 1973). No existe en él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aludió en el recurso de súplica del penado al Auto de 18 de junio de 1996 por el que se acordó no haber lugar a la revisión de las penas impuestas por considerar que, dados los hechos enjuiciados y las penas que le habían sido impuestas, no eran más favorables las previsiones punitivas del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en el fallo de dicha resolución se realiza pronunciamiento alguno acerca del criterio de cómputo de las redenciones (porque no era éste su objeto), ni de su fundamentación jurídica antes transcrita en relación con los antecedentes de hecho puede concluirse que la decisión de no revisar las condenas se sustentara de manera clara en un determinado criterio de cómputo de las redenciones que resulte determinante o decisivo para considerar o no más favorable 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misma suerte desestimatoria debe seguir la queja plasmada en el último motivo de amparo de la demanda, según la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 por cuanto “niega el carácter incentivador y reinsertador de las redenciones al no tener ninguna plasmación como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luego, no puede el interno alegar tal efecto en su caso, pues la simple lectura de las actuaciones que aporta con la demanda pone de relieve que las penas que le fueron impuestas sumaban treinta y cinco años de privación de libertad y su licenciamiento definitivo ha sido fijado para una fecha en la que llevará extinguidos algo más de veintiún años de privación efectiva de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Cándido Zubikarai Badiola.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el recurso de amparo núm. 1403-2007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profundo respeto a la decisión mayoritaria debo explicitar mi desacuerdo con los fundamentos y el fallo de la presente Sentencia, de la que he sido Ponente y es en esa condición en la que recojo en ella una opinión mayoritaria contraria a mi criterio. En cuanto a los motivos de mi desacuerdo me remito a la opinión discrepante que he dejado expresada en el recurso de amparo avocado núm. 7325-2006, donde razono mi convencimiento de que en este asunto se han vulnerado los derechos fundamentales reconocidos al recurrente por los arts. 17.1 y 25.1 CE, lo que debería haber llevado a este Tribunal a otorgar el amparo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el Auto cuya intangibilidad se analiza en esta Sentencia es de contenido análogo al que fue objeto de enjuiciamiento en el recurso de amparo avocado núm. 7325-2006, proceso en el que formulé Voto discrepante fundado en criterios interpretativos plenamente extensibles a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Adela Asua Batarrita a la Sentencia dictada en el recurso de amparo núm. 1403-2007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emite el Magistrado don Luis Ignacio Ortega Álvarez con relación a la Sentencia dictada en el recurso de amparo avocado al Pleno núm. 1403-2007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fundamentos y el fallo del Auto cuya intangibilidad se analiza en esta Sentencia son de redacción idéntica a los examinados en el recurso de amparo avocado al Pleno núm. 7325-2006, sobre la que formulé Voto particular disidente, cuyo contenido interpretativo de la ratio decidendi del mismo, así como los criterios de convencimiento sobre la corrección de la interpretación de dicha ratio decidendi, son trasladables a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