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2251-2010, promovido por don Isidro Garalde Bedialauneta, representado por el Procurador de los Tribunales don José Javier Cuevas Rivas y asistido por la Letrada doña Hailea Ziluaga Larreategi, contra Auto de la Sección Tercera de la Sala de lo Penal de la Audiencia Nacional de 26 de enero de 2010, que desestima el recurso de súplica interpuesto contra la providencia de 2 de diciembre de 2009, por la que se ordena al centro penitenciario elaborar la liquidación de condena conforme al criterio fijado en la Sentencia de la Sala Penal del Tribunal Supremo 197/2006.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marzo de 2010, don José Javier Cuevas Rivas, Procurador de los Tribunales, y de don Isidro Garalde Bedialauneta,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en el sumario 1-1982 del Juzgado Central núm. 4 mediante Sentencia de 15 de noviembre de 1993, en calidad de autor de un delito de atentado a la pena de veintiséis años de reclusión mayor; tres delitos de asesinato, consumados, a la pena de treinta años de reclusión mayor; un delito de atentado a la autoridad, en concurso ideal con un delito de asesinato frustrado cualificado por el uso de explosivos; un delito de estragos a once años de prisión mayor; y dos delitos de lesiones graves a las penas, respectivamente, de once años de prisión mayor. Posteriormente en el sumario 9-1990 del Juzgado Central núm. 5, mediante Sentencia de 30 de junio de 1995, fue condenado en calidad de autor de los delitos de atentado en relación con el de asesinato, utilización ilegítima de vehículo de motor y de falsificación de placas de matrícula, a las penas de veinte años de reclusión menor, tres años de prisión menor y tres años de prisión menor,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Sala de lo Penal de la Audiencia Nacional acordó mediante Auto de 22 de octubre de 2002 la refundición de tales condenas. Su fundamento jurídico único dice expresamente: “Los delitos cometidos por el penado Isidro María Garalde Bedialauneta presentan entre sí clara conexión jurídica y cronológica que hubiera permitido enjuiciarlos en un solo proceso como incursos en el número 5 del artículo 17 de la Ley de Enjuiciamiento Criminal, por lo que, de conformidad con lo preceptuado por el artículo 988 de la misma Ley, en relación con lo dispuesto en la regla 2ª del artículo 70 del Código Penal vigente en el momento de comisión de los hechos, es procedente acumular las condenas impuestas a dicho penado que se expresan en el antecedente segundo, y fijar el máximo de la condena total en las mencionadas causas en TREINTA AÑOS de privación de libertad”. Y en el fallo la Sala acuerda “Acumular las condenas impuestas al penado Isidro María Garalde Bedialauneta en las causas Sº 1/82 C-4 y Sº 9/90 C-5,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12 de noviembre de 2009 tuvo entrada en la Sección Tercera de Sala de lo Penal de la Audiencia Nacional un oficio del Centro Penitenciario Puerto de Santa María, en el que consultaba si era aplicable al recurrente la doctrina emanada de la STS 197/2006, de 28 de febrero, toda vez que de no aplicarse la misma la fecha de licenciamiento sería el 2 de febrero de 2010 de acuerdo con las redenciones ordinarias consignadas en la hoja de cálculo y certificación de retenciones que se adjuntaba. La Sala, una vez evacuado el traslado conferido al Fiscal, dictó providencia de 2 de diciembre de 2009 acordando que “procede aplicar al interno la doctrina establecida por la STS 197/2006”, contra la cual se interpuso recurso de súplica desestimado por Auto de 26 de enero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fundamenta su demanda de amparo en la vulneración de los derechos fundamentales a la legalidad (art. 25.1 y 2 CE), a la tutela judicial efectiva (art. 24.1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11/1987 y 123/2005, expone la demanda que la Audiencia Nacional, en la providencia de 2 de diciembre de 2009, acordó la aplicación de la nueva doctrina del Tribunal Supremo sin dar traslado a la defensa del señor Garalde Bedialauneta, pese a que hasta ese momento el criterio aplicado era otro, introduciéndose una perspectiva jurídica novedosa en cuanto al cómputo de las redenciones por trabajo, que empeoraba la situación del reo y obligaba al cumplimiento íntegro de los treinta años, y respecto de la que el recurrente no pudo defenderse ni someterla a contradicción. Entiende además que ello vulnera el principio acusatorio, porque el órgano judicial asume funciones acusatorias constitucionalmente vedadas. Por otra parte, sostiene el recurrente que la Audiencia Nacional, al dictar esa resolución mediante providencia, por entender erróneamente que se trataba de simple ejecución de la Sentencia del Tribunal Supremo de 28 de febrero de 2006 (STS 197/2006) cuando esta resolución sólo es firme para el señor Parot, determina que el único remedio que quepa sea el recurso de súplica ante el mismo órgano judicial, impidiendo el derecho a someter la cuestión ante un órgano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del Código penal (CP) de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penitenciaria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y cuarto motivo de amparo denuncian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y también del Auto de refundición de condenas de 22 de octubre de 2002, que según el recurrente fija de modo firme e intangible en treinta años la pena acumulada a la que procederá aplicar los beneficios.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y el Auto de refundición de condenas de 22 de octubre de 2002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considera vulnerado el principio de legalidad (art.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séptimo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En el caso, el señor Garalde ha cumplido un tiempo de estancia efectiva en prisión al que deberían sumarse las redenciones ordinarias y extraordinarias y licenciarlo cuando el cómputo de ambas llegue a 10.950 días, es decir al máximo de 30 años previsto en el art. 70.2 CP 1973. Sin embargo, las resoluciones recurridas retrasan la puesta en libertad del recurrente hasta el cumplimiento de los treinta años íntegros y, por tanto, violan el art. 17 CE y los arts. 5 y 15.1 del Convenio europeo para la protección de los derechos humanos y de las libertades fundamentales,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abril de 2011, la Sala Segunda de este Tribunal acordó la admisión a trámite de la demanda así como, a tenor de lo establecido en el art. 51 de la Ley Orgánica del Tribunal Constitucionales (LOTC), requerir atentamente al servicio de ejecutorias, a fin de que remita testimonio de las actuaciones correspondientes a la ejecutoria núm. 58-1995, interesándole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de este Tribunal acordó formar pieza separada para la tramitación del incidente sobre suspensión y, conforme determina el art. 56 LOTC, conceder un plazo común de tres días a la parte actora y al Ministerio Fiscal para que aleguen lo que estimen pertinente. Evacuado dicho trámite, la Sala Segunda, por Auto de 6 de junio de 2011,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3 de noviembre de 2011 se acordó dar vista de las actuaciones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diciembre de 2011 presentó sus alegaciones el Fiscal, interesando la estimación del amparo solicitado y la anulación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sosteniendo que por razones sistemáticas procede abordar los motivos de modo distinto al propuesto en la demanda de amparo. Es por ello que empieza por el examen del octavo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Ministerio Fiscal que los motivos segundo y quinto tengan suficiente eficacia suasoria. De un lado, “no parece que en el caso de autos, y a los efectos de una posible vulneración del principio de legalidad (art. 25.1) la interpretación que las resoluciones judiciales ahora recurridas en amparo hacen del art. 70.2 CP de 1973 en exégesis derivada de la STS (Pleno de la Sala 2ª TS)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(por todas, SSTC 151/2005, de 6 de junio y 283/2006, de 9 de octubre), sin que corresponda por ende al Tribunal Constitucional dilucidar, como acontece en el caso de autos, cuál de las posibles interpretaciones o criterios jurisprudenciales es el más adecuado a la norma en juego”. De otro, “no tiene fundamento alguno sostener que se ha vulnerado dicho principio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20 de febrero, y no el art. 78 CP 1995”. En fin, “se cita todo ello además en relación con el derecho fundamental a la libertad personal (art. 17 CE). Pero tal cita debe considerarse ínsita en la argumentación de denegación de la irretroactividad contra reo que hemos expuesto más arriba. Si no concurre tal defecto constitucional en la aplicación al reo de la doctrina derivada de la STS del Pleno de la Sala Segunda del Tribunal Supremo 197/2006, de 28 de febrero, tampoco puede deducirse que el no licenciamiento del Sr. Garalde en la fecha prevista de no concurrir tal doctrina haya comprometido constitucionalmente su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denunciada vulneración del derecho a la igualdad en la aplicación de la Ley (art. 14 CE). En primer lugar, porque el órgano judicial que ha dictado una de las resoluciones impugnadas (la Audiencia Nacional) es distinto de aquél que sentó la doctrina supuestamente discriminatoria (el Tribunal Supremo). Y, en segundo lugar, porque en todo caso la Sentencia de la Sala Segunda del Tribunal Supremo a la que se atribuye el cambio de criterio, el cual ha sido asumido como ratio decidendi por todas la resoluciones impugnadas, había recogido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considera vulnerado el derecho a la intangibilidad de las resoluciones judiciales (art. 24.1 CE). Así, aun reconociendo que la STC 174/1989 pudiera avalar un criterio distinto, sostiene que “no parece que puedan ser calificadas como resoluciones judiciales de naturaleza intangible las liquidaciones de condena habida cuenta de la extremada fluidez de la vida de cumplimiento penitenciario cuando entre en juego, como sucede en el caso de autos, la institución de la redención de penas, en sí mismas consideradas”. Otra cosa acontece, sigue diciendo, “con la refundición de penas ex art. 70, regla 2ª, CP 1973 o en el vigente 76.1 CP. El Auto en que se fijara la refundición, si no es recurrido, o si siéndolo en cuanto a lo que acontezca en el resultado final del recurso, debe reputarse como firme y su consecuencia debe ser en principio la intangibilidad del mismo. La razón es obvia; se opera sobre una realidad, refundir condenas, y sobre una norma, en el caso de autos la regla 2ª del art. 70 CP”. Y en relación a esta segunda cuestión argumenta que en lo que hace a este caso concreto “[a] priori no entendemos como de recibo que establecidos unos criterios de interpretación normativa para fijar la refundición de condena (Auto de 22 de octubre de 2002) y establecidos ellos en resolución judicial, pudieran variarse en virtud de una posterior resolución, como son las resoluciones judiciales ahora recurridas en amparo, por vía de remisión a la STS 197/06, de 28 de febrero, que interpreta de otra manera las normas atinentes”. Según el Fiscal, “ello comporta la vulneración del derecho a la intangibilidad de las resoluciones judiciales ex art. 24.1 CE (por todas, STC 209/05, de 4 de julio), enumerado como tal en el cuarto de los motivos de amparo del presente recurso, y que además de alguna manera se desprende cuando se argumenta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su juicio, este “derecho fundamental tiene engarce con el principio de legalidad (art. 25.1 CE) en relación con la prohibición de retroactividad de las normas penales perjudiciales para el reo (art. 9.3 CE, por todas 223/1997 y STEDH Streletz, Kessler, y Krenz vs Alemania de 22 de marzo de 2001), ya que las garantías de legalidad y seguridad jurídica que exigen ambos preceptos constitucionales deben extenderse no sólo al enjuiciamiento de los hechos como tipicidad cierta, taxativa y previsible (por todas, SSTC 196/2002, y 111/2004), sino que lo es asimismo para con la ejecución de las penas, integrándose la irretroactividad de las normas, y su interpretación, desfavorables al reo en el complejo de legalidad del art. 25.1 CE (vid. STEDH Puhk v. Estonia de 10 de febrero de 2004).”. En efecto, “en el hecho de autos las resoluciones judiciales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que supone de facto la creación ex novo de un nuevo marco paranormativo que ha causado una extensión de la fecha de licenciamiento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estas dos vulneraciones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“[l]a consecuencia de todo ello es la estimación del amparo por todas esas vulneraciones, derecho a la intangibilidad de las resoluciones judiciales (art. 24.1 CE), en relación con el principio de legalidad penal en relación con la irretroactividad de lo desfavorable para el reo (art. 25.1 en relación con el art. 9.3 CE) y 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9 de diciembre de 2011,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representación procesal presentó en este Tribunal escrito de fecha 5 de diciembre de 2011 solicitando la suspensión de los efectos de la aplicación de la Sentencia del Tribunal Supremo 197/2006, de 28 de febrero, pues a su juicio está produciendo tal perjuicio al recurrente que hace perder al amparo su finalidad, alegando que el art. 56.4 LOTC le habilita para pedir esta suspensión a pesar que la misma ya fue solicitad previamente y denegada por Auto de 6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propuesta de la Sala Segunda, el Pleno, en su reunión de 17 de enero de 2012 y conforme al art. 10.1 n)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mediante providencia de 31 de enero de 2012, acordó, respecto de la solicitud de suspensión de 5 de diciembre de 2011 que “no ha lugar a lo solicitado en el mismo, toda vez que la suspensión interesada se refiere a una resolución judicial (STS 197/2006, de 28 de febrero) no recurrida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Sala de lo Penal de la Audiencia Nacional de 26 de enero de 2010, que desestima el recurso de súplica interpuesto contra la providencia de 2 de diciembre de 2009, por la que se ordena al centro penitenciario elaborar la liquidación de condena conforme al criterio fijado en la Sentencia de la Sala Penal del Tribunal Supremo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legalidad (art. 25.1 y 2 CE), a la tutela judicial efectiva (art. 24.1 CE), a la libertad (art. 17.1 CE) y a la igualdad en la aplicación de la ley (art. 14 CE), con la argumentación que queda ampliamente expuesta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24.1, 25.1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89/2011, de 6 de junio,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STC 69/2004, de 19 de abril, FJ 3)”.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recordábamos en la STC 174/2011 de 7 de noviembre, FJ 2,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 demandante de amparo impugna la providencia de la Sección Tercera Sala de lo Penal de la Audiencia Nacional de 2 de diciembre de 2009, por la que se ordena al centro penitenciario elaborar la liquidación de condena conforme al criterio fijado en la Sentencia de la Sala Penal del Tribunal Supremo 197/2006, y el Auto de 26 de enero de 2010 por el que se desestima el recurso de súplica interpuesto contra aquélla. De todo ello se desprende que el demandante de amparo ha acudido directamente ante este Tribunal sin hacer uso del recurso de casación ante 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que lo resuelto en ellos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íntegramente despejada casi dos años antes de pronunciarse las resoluciones impugnadas mediante el Auto del Tribunal Supremo de 7 de abril de 2008, dictado precisamente resolviendo un recurso de queja contra la denegación de la preparación de un recurso de casación contra el Auto desestimatorio del recuro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acumuladas, abona la recurribilidad en casación de los autos de licenciamiento definitivo en cuanto concretan y fijan definitivamente el máximo de cumplimiento respecto de las penas que se acumulan, fijación de criterio jurisprudencial que no podía ser ignorada, tanto tiempo después por la representación procesal y la defensa letrada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que antecede resulta procedente dictar Sentencia inadmitiendo el recuso de amparo por falta de agotamiento de la vía judicial previa [art. 44.1a)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Isidro María Garalde Bedialauneta contra la providencia de la Sección Tercera Sala de lo Penal de la Audiencia Nacional de 2 de diciembre de 2009 y contra el Auto de 26 de enero de 2010 por el que se desestima el recurso de súplica interpuesto contra la providencia 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