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octubre de 2010, la Procuradora de los Tribunales doña María Luz Albacar Medina, en nombre y representación de General de Galerías Comerciales, S.A., presentó en el Registro General de este Tribunal demanda de amparo contra la Sentencia de la Sala de lo Civil del Tribunal Supremo de 30 de abril de 2010, recaída en recurso de casación núm. 118-2004, contra la Sentencia de la Audiencia Provincial de Málaga, dictada en apelación de la Sentencia del Juzgado de Primera Instancia núm. 4 de Marbella, que desestimó la demanda interpuesta por la entidad Centros Comerciales Prica, S.A., contra la ahora recurrente en amparo sobre incumplimiento del contrato de compraventa celebrado entre ambas entidades mercantiles.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alega en su demanda de amparo que la Sentencia impugnada vulneró su derecho a la tutela judicial efectiva sin indefensión (art. 24.1 CE) al no estar suficientemente motivada, incurrir en incongruencia extra petita.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febrero de 2012, la Sala Segunda de este Tribunal acordó admitir a trámite la demanda de amparo y ordenar que se formase la presente pieza separada de suspensión, concediendo a la demandante de amparo y al Ministerio Fiscal, conforme a lo dispuesto en el art. 56 de la Ley Orgánica del Tribunal Constitucional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29 de febrero de 2012, el Ministerio Fiscal solicitó, a la vista de la petición efectuada por la parte recurrente en amparo,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Ministerio Fiscal el carácter excepcional de la medida solicitada, así el art. 56.2 LOTC contempla la suspensión de las Sentencias o actos impugnados en amparo con un carácter excepcional en los casos en que la ejecución de los mismos cause al recurrente un perjuicio grave que haga perder al recurso su propia efectividad. La excepcionalidad de la medida de suspensión viene además sujeta a la limitación de que la misma no cause perjuicio a un interés constitucionalmente protegido, ni a los derechos fundamentales y libertades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en apoyo de lo afirmado por el ATC 144/2010, de 18 octubre. No obstante considera que si bien, conforme a la doctrina mencionada, la regla general es la no admisión de la suspensión de los actos o resoluciones de contenido económico o patrimonial dado que es posible la reparación de la lesión producida por la ejecución al recurrente, excepcionalmente es posible la suspensión cuando la ejecución del acto afecte a derechos del demandante o de terceros de imposible o muy difícil reparación, como en el caso de que la ejecución de la resolución impugnada en amparo conllevaba el cierre de negocios que, por la situación económica de su propietario, pudiera arrastrar su quiebra y la pérdida de empleo de sus trabajadores (AATC 110/1998, de 21 de mayo, y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Circunstancia que corresponde al recurrente la carga de acreditar; en el presente caso, la empresa recurrente en amparo solicitó la suspensión sobre la base del montante de la indemnización fijada en la Sentencia del Tribunal Supremo aquí recurrida en amparo, anunciando la quiebra de la empresa y despido de trabajadores si la cantidad hubiera de ser pagada, sin embargo la forma en que se presenta la petición de suspensión adolece de falta de prueba alguna documental o de otro género que acredite la pérdida de finalidad del amparo que se invoca agotándose la justificación en las afirmaciones que se hacen, lo que indudablemente no llena el requisito exigido jurisprudencialmente de la prueba de la pérdida de finalidad del amparo que es carga del recurrente como mas arriba se dijo.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recuerda que la suma que la Sentencia obliga a pagar y que es ciertamente elevada, debe valorarse en función del volumen del negocio de la empresa o de sus propiedades, no con carácter absoluto. En este sentido la suspensión no debería concederse, dicho sea como doctrina general, por la simple manifestación del recurrente o recurrentes en la demanda de amparo por no generar la admisión a trámite un derecho incondicionado a la suspensión de la resolución recurrida, careciendo el Tribunal Constitucional de base para discriminar la pérdida de la finalidad del amparo con datos que no están a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2 de marzo de 2012, la parte recurrente explica que en la vía judicial previa al presente recurso de amparo procedió a consignar la suma a la que resultó condenada, por ello la tutela cautelar que solicita no es simplemente la suspensión de la Sentencia que se recurre, sino que con el fin de reponer la situación fáctica al estado anterior a la ejecución de la Sentencia recurrida, se ordene a la contraparte en el pleito de origen a que devuelva la cantidad cobrada con base en la Sentencia que se recurre y proceda a su consignación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recordada en el ATC 144/2010, de 18 octubre,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libertados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entre muchos ).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como señala el ATC 333/2004, de 13 de septiembre, este Tribunal haya establecido un criterio general según el cual no procede la suspensión de la ejecución de aquellos fallos judiciales que admiten la restitución íntegra de lo ejecutado, como sucede, por lo general, tal y como ya se ha advertido, con los que producen efectos meramente patrimoniales que, por tener contenido económico no causan, salvo excepciones, perjuicios de imposible reparación. Las excepciones consideradas se refieren a aquellos otros fallos en los que resultan afectados bienes o derechos del recurrente en amparo o de terceros de imposible o muy difícil restitución a su estado anterior (ATC 263/2003, de 15 de julio, FJ 2; y ATC 307/1999, de 13 de diciembre), como sucede, por ejemplo, en los casos en los que la ejecución de la resolución impugnada en amparo conllevaba el cierre de negocios que, por la situación económica de su propietario, pudiera arrastrar su quiebra y la pérdida de empleo de sus trabajadores (AATC 110/1998, de 18 de mayo, y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del examen de la solicitud de suspensión formulada, cabe concluir que no se han acreditado circunstancias excepcionales que lleven a conceder la suspensión pedida, puesto que nos encontramos ante una cuestión estrictamente económica, en la que la parte recurrente se ha limitado a advertir, mediante otrosí de la demanda de amparo, que el perjuicio que se le ocasionaría de no acceder a la petición de suspensión se cuantifica en seis millones de euros y afirmando que dicho perjuicio “determinaría la drástica reducción del negocio y actividad empresarial de la recurrente, con pérdida de puestos de trabajo, tanto directos como indirectos”. Sin embargo, nada se ha aportado para acreditar estas afirmaciones vertidas. Tampoco en el trámite de alegaciones de la presente pieza de suspensión ha intentado demostrar la incidencia real en su patrimonio del perjuicio que alega.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