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7 de mayo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25 de noviembre de 2009, la Procuradora de los Tribunales doña María Elvira Encinas Lorente, en nombre y representación de doña Itziar Martínez Sustatxa, y bajo la dirección del Letrado don Iñaki Goyoaga Llano, interpuso recurso de amparo contra el Auto de la Sección Tercera de la Sala de lo Penal de la Audiencia Nacional de 27 de abril de 2009, dictado en la ejecutoria núm. 79-1996, por el que se desestima el recurso de súplica interpuesto contra la providencia de 7 de abril de 2009, en la que se acuerda proceder a nuevo cómputo de liquidación para fijar fecha de licenciamiento definitivo.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A esos efectos, se expone que existía una providencia de 23 de marzo de 2009 que había aprobado de manera firme el licenciamiento definitivo para el día 4 de junio de 2009, por lo que las resoluciones impugnadas al dejarla sin efecto y ordenar un nuevo cómputo han retrasado su puesta en libertad once años, con lo que su ejecución ocasionaría un perjuicio a la recurrente que haría al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26 de marzo de 2012,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20 de abril de 2012, presentó alegaciones en las que, enunciando la jurisprudencia de este Tribunal sobre el particular, interesó que se denegara la suspensión solicitada, argumentando, por un lado, la gravedad de las penas impuestas cuya fecha de cumplimiento es el objeto del recurso de amparo y la lejanía del tiempo de cumplimiento definitivo fijado en las resoluciones impugnadas y, por otro, la circunstancia de que la suspensión determinaría la puesta en libertad del recurrente lo que supondría, al menos parcialmente, un otorgamiento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por escrito registrado el 4 de abril de 2012, presentó alegaciones insistiendo en la necesidad de la suspensión de las resoluciones impugnadas por los graves perjuicios que supone el mantenimiento en prisión, toda vez que ya han transcurrido tres años desde que se superó la fecha del licenciamiento definitivo revocado por las resoluciones recurridas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56.1 de la Ley Orgánica del Tribunal Constitucional dispone que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que no se produzca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reiterado que en casos como el presente en que se solicita la suspensión de la ejecución de las resoluciones judiciales relativas a la aprobación del licenciamiento definitivo en aplicación de la doctrina establecida en la Sentencia de la Sala Segunda del Tribunal Supremo núm. 197/2006, de 28 de febrero, no resulta procedente la puesta cautelar en libertad de la recurrente por implicar una perturbación grave de los intereses generales, y, en concreto, del legítimo interés público en el cumplimiento de las penas, en atención a la gravedad de las penas que se están ejecutando. A ello se añade la circunstancia de que la puesta en libertad de la recurrente supondría, al menos parcialmente, un otorgamiento anticipado del amparo que se solicita, lo que desnaturalizaría la naturaleza cautelar de la medida (por todos, ATC 206/2010,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y tal como señala el Ministerio Fiscal, la solicitud de la suspensión debe ser rechazada, ya que se trata del cumplimiento de penas graves cuyo límite se ha establecido en treinta años y su concesión supondría la puesta en libertad de la recurrente y, con ello, un parcial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el recurso de amparo núm. 5391-2009.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