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5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7315-2005 planteado por el Consejo de Gobierno de la Junta de Andalucía en relación con los artículos 1, 2, 3, 4 y disposición final primera del Real Decreto 716/2005, de 20 de junio, por el que se restablece el funcionamiento de las apuestas hípicas externas de ámbito nacional y se autoriza su explotación a la entidad pública empresarial Loterías y Apuestas del Estado. Ha formulado alegaciones el Abogado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octubre de 2005 tuvo entrada en el Registro General de este Tribunal Constitucional, escrito del Letrado de la Junta de Andalucía por el que, en la representación que ostenta, interpone conflicto positivo de competencia, tramitado con el número 7315-2005, en relación con los artículos 1, 2, 3, 4 y disposición final primera del Real Decreto 716/2005, de 20 de junio, por el que se restablece el funcionamiento de las apuestas hípicas externas de ámbito nacional y se autoriza su explotación a la entidad pública empresarial Loterías y Apuestas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dar cuenta de los términos en que se dio cumplimiento al trámite del requerimiento previo de incompetencia, se señala por el Letrado que el conflicto se sustenta en la vulneración de la competencia exclusiva que la Comunidad Autónoma ostenta en materia de “casinos, juegos y apuestas, con exclusión de las apuestas mutuas deportivo-benéficas” en virtud de lo dispuesto en el artículo 13.33 de su Estatuto de Autonomía. Y dado que en el art. 149.1 CE no se reserva al Estado competencia alguna en esta materia, entiende que corresponde a la Comunidad la competencia exclusiva para establecer la política de juego y para regular y gestionar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representante de la Junta de Andalucía que siendo pacífico en la doctrina constitucional que la competencia sobre juego corresponde, en su territorio, a la Comunidad Autónoma, no resulta aceptable un trasvase al Estado de la mencionada competencia, con un argumento puramente histórico, de “restablecimiento” de un juego que “ya ha existido a nivel nacional”, pues las razones históricas no sirven para fundar un supuesto derecho para la atribución de competencias en una materia. El Real Decreto 716/2005, tal y como resulta de su exposición de motivos, restablece las “apuestas hípicas externas de ámbito nacional”, creadas por Decreto de 27 de junio de 1957, y entroncando con su objetivo inicial, que era exclusivamente contribuir a la financiación del hipódromo de la Zarzuela, la normativa actual lo amplia a la posible “financiación de los hipódromos” con carácter general, y al resurgimiento “de la industria de las carreras de caballos en España”. Ello implica que se vulneran las competencias autonómicas en materia de juego, a los solos efectos de lograr una parcial financiación de un hipódromo estatal, perjudicando así los intereses públicos autonómicos, sin que sea tampoco de recibo la motivación dirigida a evitar un deterioro de la industria de las carreras en España, pues el gran número de carreras de caballos celebradas en Andalucía hace que no pueda mantenerse este argumento.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 la Comunidad Autónoma, con expresa referencia a la doctrina constitucional recaída en esta materia, que la norma objeto de conflicto tiene por objeto la instauración de un juego que no resulta asimilable a los que han sido objeto de la jurisprudencia constitucional, pues no puede predicarse del mismo la afectación al ámbito del monopolio del Estado sobre la lotería, justificador de la competencia del art. 149.1.14 CE, ni el interés supracomunitario de la materia. El concepto de hacienda general a que alude el citado precepto constitucional no puede identificarse ya, como hacían las SSTC 163/1994 y 171/1998, con el de hacienda pública estatal, sino que, conforme a la STC 233/1999, es un concepto interconectado con los principios de coordinación (art. 156 CE), autonomía financiera (art. 157 CE) y suficiencia financiera de las entidades locales (art. 142 CE), lo que implica que para que el Estado pueda invocar la competencia general que deriva del art. 149.1.14 CE es preciso que “se trate de poner en marcha el principio de coordinación que prevé el art. 156 CE, llevando al Consejo de Política Fiscal y Financiera la intención de la adopción de dicha regulación o que se trate de proveer lo necesario en orden a garantizar la autonomía financiera de las Comunidades Autónomas para el ejercicio de sus competencias (art. 157 CE)”, y ninguna de estas condiciones legitimadoras se cumple en el supuesto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“supraterritorialidad del fenómeno” se advierte que el interés supracomunitario se relaciona con la necesidad de evitar vacíos normativos, y en materia de juego tal vacío no existe, tras la asunción generalizada por las Comunidades Autónomas de competencias en materia de juegos y apuestas, sin que el interés general o suprautonómico pueda identificarse con los ingresos que la explotación de una actividad de juego pueda suponer para la hacienda estatal. No se dan los supuestos en que el Tribunal excepciona su tesis general sobre la inidoneidad de esta circunstancia como criterio atributivo de competencia a favor del Estado (SSTC 329/1993 y 102/1995), dado que el fenómeno del juego es susceptible de ser compartimentado, sin que la atribución de competencias exclusivas a las Comunidades Autónomas plantee situaciones que no puedan solucionarse mediante la utilización de los correspondientes mecanismos de coordinación, ni de ella deriven supuestos estados de necesidad que hagan irremediable la intervención del Estado como única forma de salvaguardar valores superiores en peligro inminente, ni existe siquiera un interés general que justifique esta nueva autoatribución.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concretos artículos impugnados, considera el representante de la Junta de Andalucía que la declaración de inconstitucionalidad debe extenderse a todo el articulado. En el caso de los artículos 1 y 2, con la regulación de la nueva modalidad de juego se merman de manera evidente los ingresos de la Comunidad Autónoma, en cuanto se incide en el mercado del juego, provocando un retraimiento del jugador del sector privado a favor de los juegos públicos, con consecuencia directa en los ingresos de la Comunidad Autónoma en cuanto a las tasas fiscales sobre juego que dejaría de percibir. La posibilidad de celebrar convenios con otras entidades gestoras o titulares de hipódromos no salva el vicio de inconstitucionalidad, pues no constituye una referencia al bloque de constitucionalidad, único punto de referencia del conflicto de competencia. En cuanto al art. 3, se alega que las apuestas hípicas no son deportivas, dado que las carreras de caballos no constituyen modalidad deportiva federada, ni tienen el carácter de benéficas, pues el producto de las mismas va destinado a sufragar el mantenimiento de un hipódromo en Madrid. El art. 4 y la disposición final primera se cuestionan por entender que contienen aspectos instrumentales y organizativos que menoscaban la competencia autonómica, al atribuir al organismo nacional Loterías y Apuestas del Estado la competencia para la organización y explotación de este juego, así como la competencia para regular los procedimientos y la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concluye con una mención específica a la conculcación del principio de lealtad institucional, que deriva del hecho de que se ha obviado el parecer de las Comunidades Autónomas en la redacción del real decreto. Se explicita que el proyecto fue remitido a informe de la Junta de Andalucía, siendo aprobado por el Consejo de Ministros ocho días más tarde, sin contar con el parecer de la Junta. A su juicio el mencionado principio no se respeta con el simple acto formal de puesta en conocimiento, sino que es necesario que se dé oportunidad a las Comunidades Autónomas para la defensa de sus posiciones, lo que en el presente supuesto no ha acaecido, e implica la infracción de la doctrina constitucional sobre el respeto a los principios de cooperación, colaboración y mutuo auxilio, así como la lealtad, que resulta consustancial al modelo de organización territorial del Estado (cfr. SSTC 15/1982, 18/1982, 76/1983 y 67/1984).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la Sección Cuarta, de 22 de noviembre de 2005, admitió a trámite el conflicto positivo de competencia planteado por la Junta de Andalucía, acordando dar traslado de las actuaciones al Gobierno de la Nación, por conducto de su Presidente, al objeto de que en el plazo de veinte días, y por medio de la representación procesal que señala el art. 82.2 de la Ley Orgánica del Tribunal Constitucional (LOTC) pudiera personarse en los autos y aportar cuantos documentos y alegaciones considerase convenientes. Se acordó asimismo comunicar la incoación del conflicto a la Sala de lo Contencioso-Administrativo del Tribunal Supremo por si ante la misma estuviera impugnado o se impugnara el referido real decreto, en cuyo caso se suspendería el curso del proceso hasta la decisión del conflicto, así como publicar la incoación del conflicto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este Tribunal el 7 de diciembre de 2005, el Abogado del Estado solicitó, dada la acumulación de asuntos pendientes ante ese servicio jurídico, una prórroga hasta el máximo legal, del plazo concedido para alegaciones. La Sección Cuarta, mediante providencia de 12 de diciembre de 2005, acordó incorporar a las actuaciones el escrito del Abogado del Estado y atender su solicitud, ampliando en diez días el plazo originalmente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12 de enero de 2006 tuvo entrada en este Tribunal escrito de alegaciones del Abogado del Estado en el que solicita que se tenga por evacuado el trámite conferido y que, en su día, se dicte sentencia desestimatoria de la demanda, declarando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formula sus alegaciones sustantivas partiendo de un recordatorio detallado de la doctrina constitucional decantada en relación con el reparto competencial en materia de “juegos y apuestas”, con especial referencia a la recogida en la STC 171/1998, que transcribe en varios de sus fundamentos. Esta doctrina, en su criterio, habría puesto de manifiesto que la competencia exclusiva que determinadas Comunidades Autónomas han asumido en materia de casinos, juegos y apuestas, comprende la de organizar y autorizar la celebración de juegos en el territorio de la Comunidad Autónoma, precisamente en dicho territorio, pero no la de cualquier juego en todo el territorio nacional puesto que el Estatuto de Autonomía limita al territorio de la Comunidad Autónoma el ámbito en el que han de desenvolverse sus competencias. Por otra parte, ni el silencio del art. 149.1 CE respecto al género juego, ni el hecho de que los Estatutos de Autonomía califiquen de exclusiva la competencia autonómica en cuanto a juegos y apuestas, puede interpretarse como determinante de un total desapoderamiento del Estado en la materia, pues ciertas actividades que, bajo otros enunciados el art. 149.1 CE atribuye a aquél, se encuentran estrechamente ligadas con el juego en general y no sólo la que le reserva el art. 149.1.14 de la Constitución respecto de la gestión y explotación en todo el territorio nacional del monopolio de la Lotería nacional. A juicio del Abogado del Estado, de la doctrina constitucional en la materia cabe extraer tres conclusiones: que la competencia exclusiva de las Comunidades Autónomas queda circunscrita a la organización de juegos y apuestas regionales; que en virtud del título competencial sobre hacienda general, el Estado, en ejercicio de su poder financiero, puede establecer juegos y apuestas de ámbito nacional que constituyan recurso ordinario de su hacienda y que conecten con el antiguo monopolio fiscal, y que el Estado tiene competencia exclusiva sobre apuestas mutuas deportivo-benéficas, que incluye la llamada quiniela de fútbol, pero no solo ésta, sino cualquier otra apuesta deportiva que reúna análogos caracteres.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rebate a continuación el argumento expuesto por la representación autonómica de que el real decreto afecte a la competencia de la Junta de Andalucía en materia de juegos y apuestas, pues de acuerdo con el art. 2.2 del mismo, en la apuesta hípica que se restablece, principalmente se incluirán las carreras que se celebren en un hipódromo estatal, como el de la Zarzuela, y en su caso, las que tengan lugar en otros hipódromos con los que se haya celebrado el oportuno contrato o convenio, por lo que no se incluye ninguna carrera que se haya de celebrar en Andalucía, salvo que previamente se convenga con la Junta. En definitiva, la apuesta se configura sobre carreras que se desarrollan fuera de Andalucía, o en Andalucía con el acuerdo de la Junta y los ingresos se destinarán a financiar un hipódromo estatal situado fuera de aquella Comunidad Autónoma, por lo que no parece que exista un punto de conexión con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sustenta como argumento principal que las apuestas hípicas se insertan en el ámbito de las competencias estatales en relación con las denominadas “apuestas mutas deportivo-benéficas”, que resultan expresamente excluidas de la competencia atribuida a la Comunidad Autónoma en el art. 13.33 de su Estatuto de Autonomía. Frente a lo señalado al respecto en la demanda, considera que las apuestas hípicas son apuestas deportivas, siendo a estos efectos irrelevante, que las carreras de caballos constituyan o no una modalidad deportiva federada; recuerda que la propia normativa andaluza las considera como actividad deportiva (arts. 1.1.12 y 10 del reglamento de hipódromos y apuestas hípicas 295/1995, de 19 de diciembre) y el título competencial no hablan de modalidad federada sino únicamente deportivo-benéfica. El carácter deportivo de esta actividad se considera indubitado, aludiendo a la definición que del deporte se hace en el diccionario de la Real Academia Española, y su inclusión en el concepto que se examina ha sido reconocido por este Alto Tribunal, cuando declaró que la competencia estatal no se circunscribe a las “llamadas quinielas de fútbol sino que se extiende a cualesquiera otros concursos de pronósticos que se realicen sobre resultados deportivos que reúnan el doble carácter de mutuos y benéficos” (STC 163/1994, FJ 9), ámbito en el que se incluiría la quiniela hípica, como expresamente ha declarado la propia jurisprudencia del Tribunal Supremo. A juicio de la Abogacía del Estado, el carácter benéfico resulta del destino previsto para la recaudación que, como señala la exposición de motivos de la norma, es el de garantizar la “financiación de los hipódromos” y, en general, coadyuvar el resurgimiento del sector económico de las carreras de caballos y de la cría caballar, a lo que se añade la finalidad de dotar de recursos a todos los hipódromos que decidan incorporarse al sistema de apuestas mediante los convenios o contratos previstos en el art. 2; y es precisamente la pretensión de financiar la actividad sobre la que se configura la apuesta, el común denominador de todas las apuestas mutuas deportivo-benéficas, incluida la quiniela de fútbol.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secundario, y para el supuesto de que no se admita lo anterior, se afirma que el título competencial del art. 149.1.14 CE ampara la norma dictada. El título de hacienda general comprende el de la propia hacienda estatal, donde la soberanía financiera hace que sea amplio el poder de intervención del Estado, y el de coordinación con las restantes haciendas, para que efectivamente pueda hablarse de una hacienda general. La soberanía financiera del Estado incluye, no sólo la potestad tributaria, sino también la capacidad de gestionar juegos y apuestas de ámbito nacional derivadas o complementarias del antiguo monopolio fiscal, que generen recursos ordinarios de su presupuesto, aunque no coincidan con la tradicional configuración de la Lotería nacional; y la apuesta hípica, tal y como aparece configurada en la normativa de desarrollo del real decreto, tiene un carácter mixto entre lotería y apuesta deportiva, que permite ampararla en el concepto amplio de lotería y, por tanto, recurso ordinario de la hacienda estatal. El art. 3 del real decreto configura parcialmente esta apuesta como recurso ordinario de la hacienda y como tal ha de enjuiciarse, independientemente de su rendimiento, como pretende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respecto a la alegada supraterritorialidad, considera el escrito que el Estado tiene poder financiero sólo limitado por las competencias autonómicas y éstas, en el ámbito que nos ocupa, se circunscriben a la organización y gestión de juegos y apuestas autonómicos, lo que no impide, por tanto que el Estado organice y gestione, en ejercicio de su poder financiero, juegos y apuestas de ámbito nacional. No cabe, como pretende la Comunidad Autónoma, la opción de territorialización, pues se trata de integrar en un solo boletín carreras de hipódromos sitos en diversas partes del territorio, que se adhieran al juego, y la territorialización reclamada resulta de la distribución del rendimiento a la región que organiza la carrera a través del convenio con el hipódromo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enero de 2006 se recibe escrito de la Sala Tercera del Tribunal Supremo en el que se comunica que, habiéndose acordado la suspensión del trámite del recurso seguido en esa Sala a instancia de Procurador actuante en nombre y representación del Gobierno Vasco contra el Real Decreto 716/2005, de 20 de junio, se solicita que se comunique a esa Sala la resolución que en su día recaiga sobre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junio de 2012 se acordó señalar para deliberación y votación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la Junta de Andalucía en relación con los artículos 1, 2, 3, 4 y disposición final primera del Real Decreto 716/2005, de 20 de junio, por el que se restablece el funcionamiento de las apuestas hípicas externas de ámbito nacional y se autoriza su explotación a la entidad pública empresarial Loterías y Apuestas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denuncia que el real decreto impugnado vulnera la competencia exclusiva que, en materia de juegos y apuestas le reconoce el art. 13.33 de su Estatuto de Autonomía; tiene por objeto la instauración de un juego que no encuentra amparo en el art. 149.1.14 CE pues no afecta al ámbito del monopolio estatal de la lotería, justificador de la mencionada competencia, e infringe lo dispuesto en los arts. 156 y 157 CE por ausencia de la necesaria observancia del principio de coordinación y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por el contrario, que las apuestas hípicas se insertan en el ámbito de las competencias estatales sobre apuestas mutuas deportivo-benéficas, expresamente excluidas de la competencia atribuida a la Comunidad Autónoma en materia de juego, y resultan, además, amparadas por el título competencial previsto en el art. 149.1.14 CE, en cuanto la soberanía financiera del Estado incluye la capacidad de gestionar juegos y apuestas de ámbito nacional, derivadas o complementarias del antiguo monopolio fiscal, que generen recursos ordinarios de su presupuesto y niega que el legítimo ejercicio de esa competencia condicione los mecanismos de coordinación o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Real Decreto 716/2005, sobre el que versa el presente conflicto, tiene por objeto restablecer el funcionamiento de las apuestas hípicas externas de ámbito nacional que, según se detalla en su preámbulo, fueron autorizadas por Decreto de 27 de junio de 1957, sobrevivieron hasta el cierre del hipódromo de Madrid en 1996, siendo suprimida la autorización para su explotación en virtud de la derogación expresa de los arts. 3 y 4 del decreto anterior, por la Ley 24/2001, de 27 de diciembre, de medidas fiscales, administrativas y del orden social. Las razones que motivan la presente regulación se concretan en el texto del preámbulo del real decreto cuestionado en “que un elemento fundamental de financiación de los hipódromos es la apuesta hípica externa”, así como en el hecho de que la industria de las carreras de caballos en España se ha ido deteriorando en beneficio de países limítrofes desde el cierre del hipódromo de la Zarzuela, “por lo que su apertura debe conllevar el resurgimiento de este importante sector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define las apuestas hípicas como “un concurso de pronósticos de carácter mutuo” que se desarrolla en el territorio del Estado y se formula, de forma total o parcial, respecto del resultado oficial de una o varias carreras de caballos; en el artículo 2 se autoriza a la entidad pública empresarial Loterías y Apuestas del Estado para desarrollar y explotar estas apuestas, que tienen como soporte las carreras de caballos que se seleccionen de las que se desarrollen en el hipódromo de la Zarzuela o en otros hipódromos, a cuyo efecto se autoriza a dicha entidad a celebrar los contratos y convenios que sean necesarios; el artículo 3 contempla la distribución de la recaudación; el artículo 4 atribuye a Loterías y Apuestas del Estado la dirección y organización de la apuesta; y la disposición final primera autoriza a dicha entidad para dictar las resoluciones de desarrollo para la gestión de la misma o la regulación de los procedimientos de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expuestos los términos de la controversia trabada entre las partes, para su resolución debemos tener en cuenta dos aspectos. Por una parte, y en cuanto al objeto del conflicto, hemos de estar a lo solicitado en el suplico de la demanda que “es la parte decisiva para reconocer y concretar el objeto de todo recurso” (STC 195/1998, de 1 de octubre), en el cual se solicita que “se anulen los arts. 1, 2, 3 y 4 así como la disposición final primera del Real Decreto 716/2005”. Pese a esta específica acotación de los preceptos que son objeto del conflicto, éste se dirige de facto contra la totalidad del real decreto, habida cuenta de que únicamente resulta excluida del mismo la disposición final segunda, que se limita a establecer la fecha de entrada en vigor de la disposición recurrida; y así parece entenderlo también el representante de la Junta de Andalucía en el texto de la demanda, en donde expresamente se alude al alcance de la pretensión, “extendiéndose la declaración de inconstitucionalidad a todo su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el argumento principal que sustenta el conflicto es la consideración de que la competencia controvertida corresponde en exclusiva a la Comunidad Autónoma, careciendo el Estado de toda competencia para la aprobación de la norma. Ello implica que nuestro pronunciamiento sólo sea posible a partir del encuadramiento competencial de la disposición que nos ocupa, del examen de los títulos competenciales que puedan tener incidencia en la materia regulada, y del análisis de la reiterada jurisprudencia de este Tribunal Constitucional en relación con el alcance de las respectivas competencias. En dicho análisis hemos de tener en cuenta, en lo que respecta a la competencia de la Comunidad Autónoma en esta materia, habrá de estarse a lo dispuesto en el actual Estatuto de Autonomía, tras la reforma operada por la Ley Orgánica 2/2007, de 19 de marzo, dado que, como hemos subrayado repetidamente, “el control de las normas que incurren en un posible exceso competencial debe hacerse de acuerdo a las normas del bloque de la constitucionalidad vigentes al momento de dictar Sentencia” [entre otras, SSTC 137/1986, de 6 de noviembre, FJ 4; 170/1989, de 19 de octubre, FJ 3; 1/2003, de 16 de enero, FJ 9; 109/2003, de 5 de junio, FJ 6; 14/2004, de 13 de febrero, FJ 8; 47/2004, de 25 de marzo, FJ 7; y 135/ 2006, de 27 de abril, FJ 3 a)]. Lo que significa que “el canon de constitucionalidad aplicable para medir la validez de la Ley es el efectivamente existente al tiempo de procederse a la resolución del proceso constitucional que se hubiese entablado” (STC 110/1998, de 21 de mayo, FJ 2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enjuiciamiento de la cuestión controvertida, debe ponerse de manifiesto que las partes coinciden en el encuadramiento material de la disposición controvertida, que se inserta en el ámbito relativo a juegos y apuestas.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ha alegado la vulneración de su competencia exclusiva en materia de juegos y apuestas, en los términos contemplados en su Estatuto de Autonomía. La competencia autonómica en esta materia, al tiempo de plantearse el conflicto, se configuraba como competencia exclusiva en materia de “casinos, juegos y apuestas, con exclusión de las apuestas mutuas deportivo-benéficas” (art. 13.33 de la Ley Orgánica 6/1981). Tras la reforma del Estatuto de Autonomía, operada por la citada Ley Orgánica 2/2007, el artículo 81 del vigente Estatuto de Autonomía, en su apartado 1, atribuye a la Comunidad Autónoma “la competencia exclusiva en materia de juegos, apuestas y casinos, incluidas las modalidades por medios informáticos y telemáticos, cuando la actividad se desarrolle exclusivamente en Andalucía”, y en su apartado 2 dispone que “la autorización de nuevas modalidades de juego y apuestas de ámbito estatal, o bien la modificación de las existentes, requiere la deliberación de la Comisión Bilateral Junta de Andalucía-Estado prevista en el título IX y el informe previo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texto estatutario incorpora un cambio conceptual destacable que, siguiendo la línea de la propia jurisprudencia constitucional en la materia, parte de una delimitación competencial sustentada sobre un criterio territorial, en la que el ámbito espacial de desenvolvimiento del correspondiente juego es el criterio delimitador del ejercicio de las respectivas competencias, estatales o autonómicas. Ello implica que, por un lado, se elimina la exclusión de la competencia de la Comunidad Autónoma respecto de determinadas modalidades de juego (apuestas mutuas deportivo-benéficas) y, por otro, como ya hemos tenido ocasión de señalar en la reciente STC 83/2012, de 18 de abril, FJ 3, se reconoce implícitamente al Estado una competencia de carácter general para la autorización de nuevas modalidades de juego o la modificación de las existentes, cuando tengan un ámbito que alcance la totalidad del territorio nacional, únicamente condicionada al cumplimiento de los trámites de colaboración que allí se detallan. Respecto de estos últimos, interesa hacer notar, que ya advertimos en nuestra STC 31/2010, de 28 de junio, FJ 86, respecto de un precepto análogo del Estatuto de Autonomía de Cataluña (art. 141.2), que estas previsiones no supeditan ni condicionan la actuación estatal en esta materia, de modo que el Estado podrá, si lo estima conveniente, autorizar nuevos juegos o modificar los existentes de su competencia, sin estar vinculado por el informe emitido por la Comunidad Autónoma, o por su no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juego, existe asimismo una reiterada y consolidada doctrina constitucional, que se sintetiza en la STC 32/2012, de 15 de marzo, FJ 3, en la que se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 de juego, a pesar de no ser mencionada en los arts. 148.1 y 149.1 CE y en los Estatutos de Autonomía, ha sido atribuida a las Comunidades Autónomas bajo el uniforme título de ‘casinos, juegos y apuestas con exclusión de las Apuestas Mutuas Deportivo-Benéficas’ en sus respectivos Estatutos. [En consecuencia], de acuerdo con el art. 149.3 CE, y dado que en el art. 149.1 no se reserva expresamente al Estado dicha materia, cabe afirmar que corresponde a las Comunidades Autónomas, de acuerdo con su Estatuto de Autonomía, la competencia exclusiva sobre los casinos, juegos y apuestas, excepto las apuestas mutuas deportivo-benéficas (STC 52/1988, FJ 4), y que la misma comprende la de organizar y autorizar la celebración de juegos en el territorio de la Comunidad Autónoma (SSTC 163/1994, FJ 3; 164/1994, FJ 4), precisamente en dicho territorio, pero no, evidentemente, la de cualquier juego en todo el territorio nacional, puesto que los Estatutos de Autonomía limitan al territorio de la Comunidad el ámbito en el que ha de desenvolver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doctrina está sin embargo igualmente dicho que ‘ni el silencio del art. 149.1 CE respecto al género juego, ni el hecho de que los Estatutos de Autonomía califiquen de exclusiva la competencia autonómica en cuanto a juegos y apuestas, puede interpretarse como determinante de un total desapoderamiento del Estado en la materia, pues ciertas actividades que bajo otros enunciados el art. 149.1 CE atribuye a aquél, se encuentran estrechamente ligadas con el juego en general y no sólo la que le reserva el art. 149.1.14 de la Constitución respecto de la gestión y explotación en todo el territorio nacional del monopolio de la lotería nacional, sin perjuicio de las competencias de algunas Comunidades Autónomas en materia de juego’ (SSTC 163/1994, de 26 de mayo, FJ 4; 164/1994, de 26 de mayo, FJ 5; 216/1994, de 20 de julio, FJ 2; y 49/1995,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y en lo que se refiere a las apuestas, como modalidad de juego, recuerda la STC 35/2012, FJ 4 que “hemos afirmado reiteradamente que ex art. 149.1.14 CE, corresponde al Estado ‘en razón de su naturaleza de fuente de la Hacienda estatal, la gestión del monopolio de la Lotería nacional y con él la facultad de organizar loterías de ámbito nacional’, así como ‘en cuanto suponen una derogación de la prohibición monopolística establecida a favor del Estado, el otorgamiento de las concesiones o autorizaciones administrativas para la celebración de sorteos, loterías, rifas, apuestas y combinaciones aleatorias solamente cuando su ámbito se extienda a todo el territorio del Estado’ (por todas, STC 171/1998, de 23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hasta aquí expuesto, resulta suficiente para afirmar la competencia del Estado para dictar el Real Decreto 716/2005, y para descartar la vulneración de las competencias autonómicas en materia de juego que la Junta de Andalucía ha denunciado con carácter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 la Comunidad Autónoma en materia de juegos, apuestas y casinos se restringe a aquellos que se desarrollen con carácter exclusivo en el territorio autonómico, y el real decreto que se examina, ya desde su propia denominación, deja claro de forma concluyente que la regulación recae sobre un juego de ámbito estatal, las “apuestas hípicas externas de ámbito nacional”, y a dicho ámbito se refiere reiteradamente a lo largo de su articulado, y destacadamente en el artículo 1.2 en donde éstas se definen como “el concurso de pronósticos de carácter mutuo que se desarrolle en el marco del territorio del Estado”. En el preámbulo de la norma se determina el interés público concurrente para la regulación y autorización de las apuestas hípicas de ámbito nacional, determinación que se hace por referencia a dos elementos, por un lado “la financiación de los hipódromos” y por otro “el fomento de la industria de las carreras de caballos”, perspectivas ambas que tienen un alcance general o suprautonómico.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el art. 2.2 del Real Decreto dispone que las carreras de caballos que son objeto de las apuestas estatales son las que se celebren en el hipódromo de la Zarzuela o en otros hipódromos, precisando el precepto que “a dicho efecto, se autoriza a Loterías y Apuestas del Estado a celebrar los contratos y convenios que sean necesarios”. Ello implica que la apuesta hípica se realiza sobre los resultados de las carreras que se celebren en un hipódromo estatal (la Zarzuela) o en su caso, y únicamente previo acuerdo convencional con la propia Junta de Andalucía, las que pudieran celebrarse en los hipódromos situados en su territorio; interpretación del precepto que se corrobora en la contestación al requerimiento de incompetencia efectuada por el Gobierno de la Nación, en donde se señala que en aplicación del citado precepto “se suscribirán, de acuerdo con la Junta de Andalucía, los oportunos convenios con los hipódromos situados en esa Comunidad”. No se produce pues una vulneración de la competencia autonómica sobre juego, en la medida en que la regulación contenida en el real decreto se refiere con carácter exclusivo a un juego de ámbito nacional, no altera ni perturba la competencia ya ejercida por la Comunidad Autónoma en relación con las apuestas hípicas que se celebren exclusivamente en su territorio, y no existe previsión constitucional alguna que impida o prohíba la convivencia de una misma modalidad de juego en el ámbito estatal y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planteados los términos de la cuestión controvertida, carecen de relevancia a efectos del presente conflicto, los argumentos de la parte promotora acerca de si el real decreto “restablece” o “crea ex novo” esta modalidad de apuesta; si la actividad sobre la que recae el pronóstico constituye una modalidad deportiva, si tiene el carácter de deporte federado, o si puede reputarse o no como actividad “deportivo-benéfica”, cuestiones todas ellas que, en ningún caso, sirven como premisa para enjuiciar la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carácter subsidiario, se alega por la Comunidad Autónoma que la regulación que se efectúa no resulta amparada por el título competencial del Estado en materia de “hacienda general” (art. 149.1.14 CE), pues dicho título sería distinto al de “hacienda estatal”; y considera, además, que el real decreto vulnera el principio de suficiencia financiera de las haciendas autonómicas, previsto en el art. 156.1 CE e infringe la autonomía financiera contemplada en el art. 157 CE, por cuanto la actuación estatal se ha desarrollado prescindiendo de los mecanismos de coordinación con las haciendas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primera de las cuestiones, la relativa al alcance de la competencia estatal en materia de hacienda general, este Tribunal ha declarado reiteradamente que corresponde al Estado ex art. 149.1.14 CE “la gestión del monopolio de la lotería nacional y con él la facultad para organizar loterías de ámbito nacional; y además, en cuanto suponen una derogación de la prohibición monopolística establecida a favor del Estado, el otorgamiento de las concesiones o autorizaciones administrativas para la celebración de sorteos, rifas, apuestas y combinaciones aleatorias solamente cuando su ámbito se extiende a todo el territorio nacional” (STC 163/1994, de 26 de mayo, FJ 8), decisión que reiteramos en las SSTC 216/1994, de 14 de julio, FJ 2 y 171/1998, de 23 de julio, FJ 7, añadiendo que “como monopolio fiscal, pues, cuyo establecimiento constituye una manifestación del poder financiero del Estado, reservando el ejercicio exclusivo de un juego de suerte para producir unos ingresos públicos, corresponde a la Administración del Estado la gestión y explotación del juego de la Lotería en todo el territorio nacional” (STC 163/1994,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señala la STC 49/1995, de 16 de febrero, FJ 3 que “el título de Hacienda General del art. 149.1.14 CE … no puede entenderse circunscrito a los ingresos tributarios, pues comprende también estos otros que organiza, genera y gestiona el Estado mediante el monopolio fiscal. Por su naturaleza pues, de ingresos no tributarios directamente explotados por la Hacienda estatal, corresponde con carácter exclusivo al Estado la gestión y explotación del monopolio de la Lotería nacional (SSTC 103/1994, fundamentos jurídicos 5 y 6; 164/1994, fundamento jurídico 4; 216/1994, fundamento jurídico 2). Señalamos también allí que el concepto de juego de la lotería y su explotación como recurso de la Hacienda del Estado, incluido en el art. 149.1.14 de la CE, no puede quedar referido únicamente a la específica modalidad con la que aquél aparece configurado en la instrucción general de loterías de 23 de marzo de 1956, pues la lotería desde su introducción y en las diversas modalidades en que a través de la historia ha sido organizada por la Administración ha constituido una renta de la Hacienda pública, sin perjuicio de que funcionasen simultáneamente en ocasiones diversas modalidades. La aceptación de un concepto reduccionista de la misma supondría confundir lo que jurídica e institucionalmente se configura como una fuente de ingresos no tributarios directamente explotada por la Hacienda estatal con una mera modalidad de dicho juego, excluyéndose así la competencia del Estado ex art. 149.1.14 CE, para gestionar o explotar lo que es, como siempre ha sido, un recurso o fuente de su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ha venido reconociendo pues que, al amparo del título competencial en materia de “hacienda general” el Estado está habilitado para establecer y gestionar apuestas y juegos de ámbito nacional, que se configuren como recurso ordinario de su hacienda, aunque no coincidan con la tradicional configuración de la Lotería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otro lado, y en lo que respecta a la alegada vulneración de los principios de autonomía y suficiencia financiera de las Comunidades Autónomas, la STC 32/2012, FJ 6, ya puso de manifiesto que, conforme a lo señalado en la STC 31/2010, FJ 130, el Estado tiene atribuida la competencia exclusiva en materia de hacienda general, así como la potestad originaria para establecer tributos mediante ley (art. 133.1 CE), lo que, unido a que también corresponde al legislador orgánico la regulación del ejercicio de las competencias financieras de las Comunidades Autónomas (art. 157.3 CE), determina que aquél “sea competente para regular, no solo sus propios tributos, sino también el marco general de todo el sistema tributario y la delimitación de las competencias financieras de las Comunidades Autónomas respecto de las del propio Estado (STC 72/2003, de 10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precisas coordenadas se sitúa cabalmente el principio de autonomía financiera de las Comunidades Autónomas que sanciona el art. 156.1 CE, en relación con el art. 137 CE y que desarrolla luego la Ley Orgánica 8/1980, de 22 de septiembre, de financiación de las Comunidades Autónomas (LOFCA), cuyo art. 1.1 reconoce la autonomía financiera de éstas para el desarrollo y ejecución de sus competencias, disponiendo en su art. 2.1 f) que la actividad financiera de las Comunidades Autónomas se ejercerá en coordinación con la hacienda del Estado con arreglo al principio de suficiencia de los recursos para el ejercicio de sus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sido reiterada nuestra doctrina según la cual, la competencia del Estado para regular la financiación del propio Estado y de las Comunidades Autónomas ha de desenvolverse, con la coordinación del propio Estado, en un marco de cooperación entre éste y las Comunidades Autónomas. Así, tenemos declarado que la coordinación de la autonomía financiera de las Comunidades Autónomas con la hacienda estatal, exigida por el art. 156.1 CE, habrá de desarrollarse dentro del orden competencial, es decir, compatibilizando “el ejercicio coordinado de las competencias financieras y las competencias materiales de los entes públicos que integran la organización territorial del Estado, de modo que no se produzca el vaciamiento del ámbito —material y financiero— correspondiente a las esferas respectivas de soberanía y de autonomía de los entes territoriales” (STC 13/2007, de 18 de enero, FJ 3,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financiera de las Comunidades Autónomas, además de desenvolverse en un marco de cooperación y colaboración, “exige ciertamente la disposición de los medios financieros precisos para poder ejercer, sin condicionamientos indebidos y en toda su extensión, sus competencias propias, y al cabo, permitir el ejercicio de la autonomía política constitucionalmente reconocida en los arts. 137 y 156 CE” (STC 32/2012, de 15 de marzo, FJ 7). El principio de suficiencia financiera garantiza el ya mencionado nivel mínimo de recursos que permita el ejercicio de las competencias autonómicas, pero no constituye un valor absoluto, sino que “dicha suficiencia debe quedar enmarcada, como concepto relativo que es, en el marco de las posibilidades reales de sistema financiero del Estado en su conjunto” (STC 13/2007, de 18 de enero, FJ 5) y no resulta, por tanto “determinable en función de una singular fuente de ingresos individualmente considerada, y su eventual reducción” (STC 32/2012,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precisiones resultan suficientes para desestimar la queja que analizamos, pues los preceptos del bloque de constitucionalidad citados por la Junta de Andalucía no son susceptibles de la interpretación que ésta pretende. Una vez afirmada la competencia del Estado para la creación y autorización de las apuestas hípicas que son objeto del Real Decreto 716/2005, el hecho de que dicha autorización pueda eventualmente reducir los ingresos autonómicos que derivan de la explotación en el territorio andaluz de un juego de similares características, en palabras de la STC 32/2012, FJ 7, “no es ningún criterio o factor adecuado para expresar las necesidades de financiación autonómica, y, por tanto, capaz de arriesgar la lesión del principio de suficiencia financiera que se denuncia. De un lado porque [la Generalitat de Cataluña] no ha demostrado en ningún momento que la nueva modalidad de lotería de ámbito estatal ponga en peligro la suficiencia de los recursos financieros precisos para ejercer sus competencias en materia de juego. Una demostración que resulta en rigor necesaria por cuanto, como también hemos advertido en otras ocasiones, no existe un derecho de las Comunidades Autónomas constitucionalmente consagrado a recibir una determinada financiación, sino un derecho a que la suma global de los recursos existentes de conformidad con el sistema aplicable en cada momento se reparta entre ellas respetando los principios de solidaridad y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citados preceptos constitucionales no se deriva pues la exigencia de acudir al mecanismo de coordinación y consulta en el seno del Consejo de Política Fiscal y Financiera, pues la eventual merma de los ingresos autonómicos “no permite cuestionar la legitimidad del ejercicio por el Estado de sus competencias ex art. 149.1.14 CE por el simple hecho de que, al hacerlo no haya previsto ningún mecanismo de compensación financiera, so pena naturalmente de admitir un indebido condicionamiento en el ejercicio de las competencias propias del Estado y, por tanto, con evidente riesgo de desfigurar el propio concepto de suficiencia financiera diseñado en el bloque de constitucionalidad que no reclama, como se ha señalado, el cumplimiento de semejante exigencia de compensación” (STC 35/2012,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este motivo de inconstitucionalidad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alega finalmente por la Comunidad Autónoma, la infracción del principio de lealtad institucional, en su perspectiva administrativa, que derivaría de una supuesta insuficiencia del trámite de consulta evacuado en la tramitación del real decreto, al no haberse dado una efectiva oportunidad a la Junta de Andalucía, de manifestar su posición respecto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principio de lealtad constitucional y su aplicación a las relaciones financieras entre el Estado y las Comunidades Autónomas, nos hemos pronunciado en reiteradas ocasiones, afirmando que éste resulta “esencial en las relaciones entre las diversas instancias del poder territorial”, de manera que “constituye un soporte esencial del funcionamiento del Estado autonómico cuya observancia resulta obligada” (STC 239/2002, de 11 de diciembre, FJ 11), tratándose de un principio que “tiene una específica proyección en la materia financiera, tal como se recoge en las normas vigentes que integran el bloque de constitucionalidad en esta materia” (STC 109/2011, de 22 de junio, FJ 5). También hemos recalcado la conexión entre este principio y el establecimiento de un sistema adecuado de colaboración entre Administraciones, de manera que “el adecuado funcionamiento del Estado autonómico se sustenta en los principios de cooperación y coordinación entre el Estado y las Comunidades Autónomas y de éstas entre sí, además de en el establecimiento de un sistema de relaciones presididas por la lealtad constitucional, principios todos ellos que deben hacerse efectivos al margen, incluso del régimen de distribución competencial” (por todas, STC 109/2011, de 22 de junio, FJ 5). Finalmente, hemos destacado que lo que el principio de lealtad constitucional exige es que el Gobierno extreme el celo por llegar a acuerdos con las Comunidades Autónomas, pero no que dichos acuerdos deban ser vinculantes (SSTC 209/1990, de 20 de diciembre, FJ 4; 13/2007, de 18 de enero, FJ 11, 31/2010, de 28 de junio, FJ 138, y 204/2011,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doctrina, debe rechazarse también en este punto, la pretensión de la parte recurrente, pues como expresamente reconoce el Letrado de la Junta de Andalucía en el escrito de demanda, el texto del proyecto de real decreto fue remitido a informe de la misma con carácter previo a su aprobación por el Consejo de Ministros. Ello implica que la norma fue previamente conocida y susceptible de examen por la Comunidad Autónoma, lo que hace que no resulte posible afirmar que se hayan ignorado los mecanismos de cooperación y coordinación y que por tanto se haya infringido el principio de lealtad constitucional. Ciertamente, el tiempo transcurrido entre la comunicación de la medida proyectada y la adopción del real decreto en cuestión fue breve; ahora bien, también hemos señalado que los mecanismos de cooperación y coordinación no supeditan ni condicionan la actuación estatal en esta materia, de modo que el Estado puede, ejercer su competencia para la autorización de nuevos juegos de ámbito nacional, sin estar vinculado por el informe emitido por la Comunidad Autónoma, o por su no emisión.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