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4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diciembre de 2008, el Procurador de los Tribunales don Javier Cuevas Rivas, en nombre y representación de don José Ramón Martínez de la Fuente Inchaurregui, y bajo la dirección del Letrado don Iker Urbina Fernández, interpuso recurso de amparo contra el Auto de la Sección Primera de la Sala de lo Penal de la Audiencia Nacional de 3 de diciembre de 2008, dictado en la ejecutoria núm. 75-1986, por el que se desestima el recurso de súplica interpuesto contra la providencia de 29 de octubre de 2008 por la que se acuerda fijar como fecha de licenciamiento definitivo del recurrente el día 20 de mayo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si se aplica la jurisprudencia anterior a la doctrina establecida en la Sentencia de la Sala de lo Penal del Tribunal Supremo núm. 197-2006, de 28 de febrero, el licenciamiento definitivo del recurrente habría tenido lugar el día 1 de enero de 2009, por lo que las resoluciones impugnadas, al fijar el día 20 de mayo de 2020 como fecha de licenciamiento definitivo, conforme a la doctrina de la citada Sentencia, han retrasado su puesta en libertad once años, con lo que la ejecución de las resoluciones impugnadas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19 de abril de 2012, presentó alegaciones en las que, con cita de la doctrina de este Tribunal sobre el particular, interesó que se denegara la suspensión solicitada, dada la gravedad de las penas impuestas al recurrente, la lejanía del tiempo de cumplimiento definitivo y la circunstancia de que la suspensión determinaría la puesta en libertad del recurrente, lo que supondría, al menos parcialmente, un otorgamiento anticipado del amparo, lo que desnaturalizaría el carácter cautelar de la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3 de abril de 2012, presentó alegaciones reiterando su solicitud de suspensión de las resoluciones impugnadas por los graves perjuicios que supone el mantenimiento en prisión, lo que determina que el amparo pierda su finalidad, toda vez que ya han transcurrido tres años desde que se superó la fecha del licenciamiento definitivo que le corresponde conforme a la jurisprudencia anterior a la Sentencia de la Sala de lo Penal del Tribunal Supremo núm. 197/2006, de 28 de febrero, a lo que añade que la suspensión no supondría perturbación para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Habiéndose personado la Asociación de Víctimas del Terrorismo en el presente recurso de amparo, por diligencia de ordenación del Secretario de Justicia de la Sala Primera de 3 de mayo de 2012 se le concedió plazo de tres días para que alegase lo que estimase pertinente sobre la suspensión interesada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14 de mayo de 2012 presentó sus alegaciones la Asociación de Víctimas del Terrorismo, en las que, con cita de la reiterada doctrina de este Tribunal en asuntos similares, interesó que se denegara la suspensión solicitada, por las mismas razones que el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(LOTC)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 De ello deriva, como regla general, que la admisión del amparo no conlleva la suspensión de la ejecución de los actos recurridos, ni siquiera en el supuesto expresamente previsto de la pérdida de finalidad del amparo, dado que la suspensión se condiciona a que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relativas a aprobación del licenciamiento definitivo en aplicación de la doctrina establecida en la Sentencia de la Sala de lo Penal del Tribunal Supremo núm. 197/2006, de 28 de febrero, no resulta procedente la puesta cautelar en libertad del recurrente por implicar una perturbación grave de un interés constitucionalmente protegido como lo es 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AATC 206/2010, de 30 de diciembre, 3/2011, de 14 de febrero, y 25/2012, de 31 de enero).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tal como interesan el Ministerio Fiscal y la Asociación de Víctimas del Terrorismo, la solicitud de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10210-2008.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