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4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septiembre de 2011 tuvo entrada en el Registro General de este Tribunal escrito firmado por el Procurador de los Tribunales don Santos Carrasco Gómez, en representación de don Gabriel Ricardo Dias Acedo, en virtud del cual interponía recurso de amparo contra el Auto número 36-2011 del Pleno de la Sala de lo Penal de la Audiencia Nacional y contra el Auto de la Sala de lo Penal, Sección Cuarta de la misma Audiencia, rollo de Sala 57-2010, por los que se accedía, en trámite jurisdiccional, a la solicitud de extradición deducida por la Región Especial de Hong Kong, de la República Popular China, del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considera que las resoluciones recurridas han vulnerado su derecho a la tutela judicial efectiva [art. 24 CE] en relación con el art. 13.3 CE y los derechos fundamentales a la libertad y seguridad jurídica de los arts.17.1 y 2 CE. Además considera infringido el art 25.1 en relación con el art. 9.1 del texto constitucional, por entender que la Región de Hong Kong no es competente para instar la solicitud de extradición, que en todo caso correspondería al Estado chino por medio de sus órganos competentes. A la vez solicitaba la suspensión de los Autos recurridos por entender que su ejecución haría perder al amparo su finalidad. Dicha petición suspensiva fue reiterada por escritos de 23 y 26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resolución de fecha 28 de marzo de 2012 la Sección Cuarta de este Tribunal acordó, por la vía del art. 56.3 de la Ley Orgánica del Tribunal Constitucional (LOTC), la suspensión cautelar, por razones de urgencia excepcional, de la ejecución de las resoluciones impugnadas, al estimar que dicha ejecución produciría un perjuicio de imposible o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abril de 2012 la Sala Segunda acordó admitir a trámite el recurso de amparo, de conformidad con lo previsto en el art. 11.2 LOTC, y en aplicación del art. 51 LOTC que se requiera al Pleno y a la Sección Cuarta de la Sala de lo Penal de la Audiencia Nacional a fin de que, en plazo que no exceda de diez días, remita certificación o copia adverada de las actuaciones correspondientes al recurso de súplica núm. 31-2011 y rollo 57-2010, así como actuaciones correspondientes al expediente de extradición 20-2010 del Juzgado Central de Instrucción núm. 5, debiendo previamente emplazarse a quienes hubieran sido parte en el procedimiento para que en el plazo de diez días puedan comparecer en el recurso de amparo, si así lo desean, salvo a la parte recurrente en amparo. A la vez se acordó formar la oportuna pieza para la tramitación del incidente de suspensión y, conforme a lo dispuesto en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parte recurrente presentó escrito de alegaciones con fecha 3 de mayo de 2012, en el que reproduce, en síntesis, las alegaciones formuladas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18 de mayo de 2012, interesa el mantenimiento de la suspensión. Tras referirse a los antecedentes del caso y a la doctrina de este Tribunal, señala que la ejecución es susceptible de ocasionar un perjuicio grave e irreparable para el demandante al poder perder el amparo su finalidad. Por otro lado se subraya que el mantenimiento de la suspensión acordada no es lesivo para los intereses generales, ni siquiera para los intereses y derechos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6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por el Ministerio Fiscal y las partes personadas (ATC 111/2011, de 11 de julio, FJ 1). Ahora bien, como con detalle se ha analizado en el ATC 16/2011, de 25 de febrero, esa posibilidad no excluye la facultad del Tribunal Constitucional para que, en virtud de las previsiones contenidas en el art. 56.3 LOTC, y ante la concurrencia de circunstancias singularísimas de excepcional urgencia debidamente acreditadas, pueda acordar inaudita parte la suspensión de la resolución impugnada (o cualquier otra medida cautelar que pueda resultar adecuada) incluso antes de decidir sobre la admisión a trámite del recurso de amparo, y ello para impedir que, mientras se decide sobre la admisión del recurso conforme a la nueva configuración de este trámite que resulta de la reforma introducida por la Ley Orgánica 6/2007, pueda consumarse de manera irreversible la lesión de algún derecho fundamental que se alega por el demandante de amparo, provocando con ello la pérdida de la finalidad de su recurso, pues no debe olvidarse que “el recurso de amparo, en todo caso, sigue siendo un recurso de tutela de derechos fundamentales” (STC 155/2009, de 25 de junio, FJ 2) y que el fundamento de la tutela cautelar en el proceso de amparo constitucional no es otro que la necesidad de evitar que el amparo pierda su finalidad en caso de que finalmente sea estimado (art. 56.2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fue lo ocurrido en el presente caso. No obstante lo anterior, la concurrencia de una situación de urgencia excepcional que autorice a este Tribunal a acordar de forma inmediata medidas cautelares inaudita parte incluso —cuando así lo requiera el carácter extraordinariamente apremiante y perentorio del asunto— antes de la admisión (art. 56.3 LOTC), no significa que no deba ratificarse, o modificarse, o levantarse en su caso, esa decisión provisional una vez admitido a trámite el amparo, “mediante una nueva resolución motivada en la que, tras oír a las partes, se expresen las razones que lleven al Tribunal a mantener, modificar o levantar la medida inicialmente acordada” (ATC 213/2009, de 9 de julio, FJ 1). Una vez admitida a trámite la demanda de amparo, en su caso, la parte contraria podrá comparecer en el proceso constitucional de amparo (art. 51.2 LOTC) y será oída, junto a la parte recurrente y el Ministerio Fiscal, por plazo común que no excederá de tres días (art. 56.4 LOTC), sobre el mantenimiento o alzamiento de la suspensión cautelar acordada, resolviendo este Tribunal por Auto lo que proceda (ATC 16/2011,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sido oídas ya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disponiendo dicho precepto en su apartado 2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Esto es, se trata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Ley Orgánica del Tribunal Constitucional se configura como una medida provisional de carácter excepcional y de aplicación restrictiva, siendo la regla general la improcedencia de la suspensión de las resoluciones de los poderes públicos y, en particular, las judiciales, salvo en los casos en los que se acredite de forma fehaciente tanto el carácter irreparable del perjuicio para los derechos fundamentales, como la pérdida de la finalidad del amparo en caso de mantenerse la ejecución de la resolución (por todos, AATC 369/2005, de 24 de octubre,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muchos, AATC 44/2008, de 11 de febrero, FJ 1; 67/2008, de 25 de febrero, FJ 1; 109/2008, de 14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perjuicio irreparable hemos entendido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como pone de relieve el Ministerio Fiscal en su escrito de alegaciones, procede mantener la suspensión cautelar interesada, es claro que la ejecución de la extradición del demandante de amparo conlleva la entrega a las autoridades requirentes, pudiendo convertir en ilusoria una eventual concesión del amparo, sin que se aprecie que la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las medidas cautelares acordadas en la providencia de 28 de marzo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