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137</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 de julio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julio de 2010, doña Paloma Ogayar Lechuga, bajo la representación procesal de la Procurada doña María Luisa Maestre Gómez, interpuso recurso de amparo contra la Sentencia de 29 de enero de 2010 de la Sección Segunda de la Audiencia Provincial de Huelva recaída en el rollo de apelación núm. 246-2009.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de 20 de febrero de 2009 el Juzgado de lo Penal núm. 4 de Huelva absuelve, entre otros, a la recurrente, del delito contra los derechos de los trabajadores (en concurso con un delito de lesiones por imprudencia grave) por el que había sido acusada. Según los hechos probados, un operario pintor sufrió graves lesiones al perder el equilibrio y caer al vacío cuando trabajaba en una obra en la que la ahora demandante de amparo era jefe de obras. El Juzgado de lo Penal estimó que no había quedado acreditado que la caída del trabajador tuviera su causa en la no implantación por los responsables de las empresas constructoras de medidas de seguridad en la obra.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la referida Sentencia la acusación particular y el Ministerio Fiscal interpusieron recurso de apelación. La Audiencia Provincial de Huelva por Sentencia de 29 de enero de 2010, condenó a la ahora recurrente como responsable de un delito contra los derechos de los trabajadores en concurso con una falta de lesiones por imprudencia a la pena de prisión de seis meses, multa de seis meses con una cuota diaria de diez euros o apremio personal subsidiario de un día por cada dos cuotas en caso de impago y la accesoria de inhabilitación especial por tiempo de seis meses para el ejercicio del cargo de jefe de obra en la actividad empresarial de construcción. Asimismo fue condenada por la falta a veinte días de multa con una cuota diario de diez euros o apremio personal subsidiario de un día por cada dos cuotas en caso de impago y al pago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recurrente en amparo y otros condenados promovieron un incidente de nulidad de actuaciones contra la Sentencia recaída en apelación. Por Auto de 3 de mayo de 2010 la Sección Segunda de la Audiencia Provincial de Huelva desestimo 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aduce la vulneración del principio acusatorio (art. 24.2 CE) en relación con el derecho fundamental a la tutela judicial (art. 24.1 CE). Junto a ello se sostiene también que la Audiencia Provincial de Huelva ha vulnerado el derecho de la recurrente a un proceso con todas las garantías (art. 24. 2 CE), pues considera que la condena se ha fundamentado, no en la revisión de pruebas documentales, sino de la prueba testifical, por lo que al haberse prestado estas declaraciones en la instancia, el Tribunal de apelación, al carecer de inmediación, no podía valorarlas. Según se sostiene en el recurso de amparo, la Sala ha condenado a doña Paloma Ogayar Lechuga, sin haber celebrado vista pública ni practicado prueba alguna, infringiéndose la consolidada doctrina de este Tribunal recogida en la STC 167/2002, de 18 de septiembre. Por ello considera también vulnerado el derecho a la presunción de inocencia (art. 24.2 CE), al no existir prueba de cargo, válidamente practicada, en la que basar la condena y el derecho a no sufrir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marzo de 2012 la Sección Segunda de este Tribunal acordó no admitir a trámite el recurso de amparo formulado al carecer de la especial trascendencia constitucional que, como condición para la admisión del recurso de amparo, requiere el art. 50 1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16 de abril de 2012 el Ministerio Fiscal interpuso recurso de súplica contra la referida providencia. Aduce el Fiscal que la Sala Segunda del Tribunal Constitucional ha admitido a trámite el recurso de amparo núm. 5637-2010, promovido contra las mismas resoluciones por otras personas que también resultaron condenadas en ese mismo proceso, recurso en el que se impugnaban las referidas resoluciones aduciendo la lesión de los mismos derechos fundamentales que se consideran vulnerados en este recurso de amparo. Señala también el Fiscal que, aunque la admisión del recurso de amparo núm. 5637-2010 no conlleva necesariamente que cumpla todos los requisitos de admisión exigidos por la Ley Orgánica del Tribunal, pues, de acuerdo con reiterada doctrina constitucional, la admisión de las demandas no subsana los defectos insubsanables en los que pudieran incurrir, el hecho de que la Sala Segunda haya admitido el recurso núm. 5637-2010, debe conllevar que “la presente demanda de amparo también sea admitida a fin de posibilitar que ambos recursos, en sí prácticamente idénticos, tengan una tramitación y decisión similar, al objeto de evitar una desigualdad entre recurrentes frente a la mismas resoluciones judiciales y con alegaciones similares”.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19 de abril de la Sección Segunda se dio traslado del recurso de súplica interpuesto por el Ministerio Fiscal a la recurrente en amparo para que en el plazo de tres días alegara lo que estimara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doña Paloma Ogayar Lechuga formuló alegaciones por escrito presentado en el Registro General del Tribunal Constitucional el 27 de abril de 2012 adhiriéndose al recurso formulado por el Ministerio Fiscal. Señala, por otra parte, que en su recurso de amparo no sólo se aduce la vulneración del derecho a un proceso con todas las garantías, sino también el derecho a la presunción de inocencia y el derecho a no padecer indefensión y, que, además, en la demanda formulada se ha justificado debidamente la especial trascendencia constitucional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suplica interpuesto por el Ministerio Fiscal debe ser estimado. Como pone de manifiesto el Ministerio público, la Sala Segunda de este Tribunal ha admitido a trámite el recurso de amparo núm. 5637-2010 en el que otros recurrentes, que fueron condenados en el mismo proceso del que trae causa este recurso de amparo, impugnaron las resoluciones por las que fueron condenados, que son las mismas que las impugnadas en éste, aduciendo argumentos muy similares a los alegados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no haber apreciado la Sala Segunda en el trámite de admisión que el referido recurso núm. 5637-2010 careciera de especial trascendencia constitucional y teniendo en cuenta, por una parte, la sustancial identidad entre el presente recurso de amparo y el recurso de amparo núm. 5637-2010, y, por otra, que las resoluciones impugnadas provienen de la jurisdicción penal y condenan a los recurrentes a penas privativas de libertad, debemos revocar nuestra decisión de 22 de marzo de 2012 en la que acordamos la inadmisión de este recurso por no apreciar en el mismo la especial trascendencia constitucional que exige el art. 50.1 b) de la Ley Orgánica del Tribunal Constitucional como condición para la admisión del recurso. Todo ello sin perjuicio de lo que, de admitirse este recurso, proceda decidir en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y, en consecuencia, dejar sin efecto la providencia de 22 de marzo de 2012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