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29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diciembre de 2011, procedente del Juzgado Decano de Madrid, tuvo entrada en el Registro General de este Tribunal escrito firmado por la Procuradora de los Tribunales Estrella Moyano Cabrera, en representación de don José Luis Villagordo Crego, por el que se promovía recurso de amparo contra la Sentencia de 27 de mayo de 2011, dictada por el Juzgado de lo Penal núm. 19 de Madrid, así como contra la dictada por la Sección Tercera de la Audiencia Provincial de Madrid el 16 de septiembre siguiente en el rollo núm. 286-2011, desestimatoria del recurso de apelación deducido contra la del Juzgado de lo Penal. Se impugna igualmente la providencia de 20 de octubre de 2011, dictada también por la Sección Tercera, por la que se inadmite el incidente de nulidad de actuaciones interpuesto contra la última Sentencia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del Juzgado, confirmada luego por la Audiencia, condenó al demandante como autor de un delito de lesiones de los arts. 147.1 y 148.1 del Código penal, a la pena de dos años de prisión, inhabilitación especial para el derecho de sufragio pasivo durante el tiempo de la condena, al pago de las costas y a indemnizar a la víctima en 400 €.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aduce vulneración del derecho a la presunción de inocencia (art. 24.2 CE), así como del derecho a la tutela judicial efectiva sin indefensión, en su vertiente de derecho a una resolución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solicita de este Tribunal que acuerde la suspensión de la pena privativa de libertad dado que cuando el amparo solicitado fuese otorgado por este Tribunal la pena ya habría sido cumplida total o parcialmente, de modo que el amparo habría perdido su finalidad. Aduce además que la suspensión del cumplimiento de la condena de pena privativa de libertad no causa perjuicio a tercero con cita de resoluciones de este Tribunal en las que se accedió a la suspensión que ahora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julio de 2011, la Sala Segunda acordó admitir a trámite la demanda de amparo. En providencia de la misma fecha acordó abrir pieza separada para la tramitación del incidente de suspensión y dar traslado por tres días al demandante de amparo y al Ministerio Fiscal para que alegasen lo que estimasen conveniente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ampro formuló alegaciones mediante escrito presentado el 24 de julio de 2012, interesando la suspensión de la condena privativa de libertad, si bien llamando la atención del Tribunal acerca de la menor trascendencia que la solicitud tenía en ese momento, toda vez que el órgano judicial había concedido al demandante la suspensión de la condena mediante Auto  de 21 de marzo de 2012, cuya copia aporta.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presentado el 27 de julio de 2012, interesó la suspensión de la pena privativa de libertad, única a la que se refería la solicitud del demandante, a la vista de la corta duración de la condena y de la doctrina de este Tribunal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ATC 8/2011, de 14 de febrero, contiene la interpretación que este Tribunal ha realizado del art. 56.1 de la Ley Orgánica del Tribunal Constitucional (LOTC), en la redacción dada por la Ley Orgánica 6/2007, de 24 de mayo, que afirma “que procederá, en principio, acordar la suspensión de resoluciones judiciales que afectan a bienes o derechos del recurrente de amparo de imposible o muy difícil restitución a su estado anterior, permitiéndose incluso —como novedad— la adopción de cautelas para evitar la frustración de la finalidad del recurso aún antes de haber sido este admitido a trámite” (ATC 130/2010, de 4 de octubre, FJ 1). El criterio de suspensión expuesto concurre en la ejecución de fallos judiciales que condenan a penas privativas de libertad, ya que “la libertad constituye un derecho cuya naturaleza convierte el perjuicio irrogado en irreparable, en caso de estimarse el amparo una vez cumplida parcial o totalmente la pena” (por todos ATC 15/2010, de 1 de febrero, FJ 1). Si bien este criterio no es absoluto, ya que en dichos supuestos “deben también ponderarse otras circunstancias relevantes como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(ATC 22/2009, de 26 de enero, FJ 2); “significativamente destaca la duración y gravedad de la pena impuesta, porque, en ella se expresa la reprobación que el ordenamiento asigna al hecho delictivo y, por consiguiente, la magnitud del interés general en su ejecución” (por todos, ATC 109/2008,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las tesis del Ministerio Fiscal, concurren los requisitos que nuestra doctrina exige para otorgar la suspensión de la Sentencia impugnada en cuanto a la pena privativa de libertad, por cuanto la duración de la pena impuesta —dos años de prisión— permite afirmar que su ejecución puede ocasionar al demandante perjuicios irreparables que harían perder su finalidad al recurso de amparo si se compara la duración de la pena impuesta con el tiempo que requiere la tramitación de un proceso de amparo (AATC 59/2008, de 20 de febrero, FJ 2; y 172/2008, de 23 de junio,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recurrente ha puesto de manifiesto en su escrito de alegaciones que la pena privativa de libertad de dos años de duración ha sido condicionalmente suspendida por el propio órgano judicial, en aplicación de lo previsto en los arts. 80 y siguientes del Código penal (CP). Pues bien, en el ATC 25/2009, de 26 de enero, recodábamos la procedencia de la suspensión constitucional de pena privativa de libertad previamente suspendida por la jurisdicción penal en aplicación del art. 80 del Código penal “dado el distinto alcance que una y otra tienen en la medida de que la suspensión de la ejecución de la pena prevista en los indicados preceptos está sujeta a unas condiciones que no son de aplicación a esa misma suspensión cuando la decide el Tribunal Constitucional, estando en este último caso sujeta exclusivamente al límite temporal constituido por la Sentencia en la que se pronuncie sobre el amparo solicitado” (en el mismo sentido ATC 409/2004, 2 de noviembre). Resulta por ello procedente decretar la suspensión cautelar de la pena privativa de libertad impuesta, en atención a su corta duración, tratando así de prevenir que durante la previsible duración de este amparo, por vicisitudes del procedimiento penal, se pudieren producir situaciones perjudiciales que frustraren la finalidad del presente recurso. Consiguientemente, conforme a la regla de accessorium sequitur principale, igual suspensión deberá extenderse a la privación del derecho de sufragio pasivo (art. 44 CP) aneja a la privativa de libertad suspensa.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Acceder a la suspensión de la pena privativa de libertad de dos años de prisión y accesoria de privación del derecho de sufragio pasivo durante el tiempo de la condena, impuesta a don José Luis Villagordo Crego en Sentencia de 27 de mayo de 2011, dictada por el Juzgado de lo Penal núm. 19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