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16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octubre de 2012, la Procuradora de los Tribunales doña Isabel Cañedo Vega, en nombre y representación de doña María Luisa Cavas Moreno, don Juan Manuel Laorden Nuñez, doña María Mercedes Escribano Piqueras, don José Gerardo Espinosa Martínez, don Fernando Javier Bernad Guerrero, doña María Concepción Serrano Jiménez, doña Juana Catalina Ros Martínez, don Andrés Carrillo González, don Vicente Braojos López, don Jesús Lorenzo Martín Aguado, doña Carmen Martínez Abellan, doña María Isabel Santos Ortuño, doña Isabel Teresa Beltran Valenzuela, doña María Jesús Mouliaa Correas, y don Julian Pérez Charco, bajo la dirección del Letrado don Julian Pérez Charco, interpuso demanda de amparo contra providencia y Sentencia de la Sección Séptima de la Sala de lo Contencioso-Administrativo del Tribunal Supremo recaída en recurso de casación núm. 78-2009 contra la dictada por la Sección Séptima del Tribunal Superior de Justicia de Madrid en recurso núm. 738-2004.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enero de 2013,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(artículo 80), al haber intervenido en instancia anterior en su condición de Magistrado de la Sala de lo Contencioso-Administrativo del Tribunal Supremo, que formó parte de la Sección Séptima de la Sala Tercera del Tribunal Supremo, que dictó la Sentencia de fecha 28 de noviembre de 2011, recurrida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LOTC y 221.4 de la Ley Orgánica del Poder Judicial,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Excmo. Sr. don Juan José González Rivas en el recurso de amparo núm. 5740-2012 y apartarle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