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26 de junio de 2011, la Procuradora de los Tribunales doña Ana Isabel Lobera Argüelles, actuando en nombre y representación de don Iker Moreno Ibáñez, interpuso recurso de amparo frente 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Iker Moreno Ibáñez formuló denuncia contra los agentes de la guardia civil que procedieron a su traslado a Madrid desde Pamplona el 18 de enero de 2011, cuando fue detenido, y por lo acaecido en los sucesivos interrogatorios realizados durante el tiempo en que permaneció incomunicado. Denunciaba diversos actos que serían expresivos de malos tratos y torturas y solicitaba diligencias de prueba para acreditarlos que, como posteriormente se relatará, sólo fueron practicadas parcialmente. Afirmaba también, en varias ocasiones, que durante su incomunicación dio cuenta de aquellos hechos al médico forense.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Admitida a trámite la denuncia, se practicaron las diligencias consistentes en la toma de declaración al denunciante, la unión a los autos de su declaración como detenido en dependencias de la Guardia Civil y la incorporación de los informes medico-forenses. El informe de 18 de enero de 2011, de la clínica forense de Pamplona, objetivaba equimosis en dorso de ambas muñecas, erosión con costra de 2 centímetros en rodilla derecha y erosión con costra de 2 centímetros en rodilla izquierda, sin lesiones traumáticas añadidas en el resto de la superficie corporal. Se incorporaron, asimismo, los informes médico-forenses de 18 de enero, 19 de enero, 20 de enero y 21 de enero de 2011, realizados en dependencias de la Dirección General de la Guardia Civil en Madrid, que indican, sucesivamente,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 observa normocoloreado, con puntos erosivos antiguos en dorso de manos (dice que este fin de semana estuvo en el monte y se pinchó con zarzas). Está consciente, orientado en tiempo y espacio, lenguaje y discurso coherentes, porte tranquilo.”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 observa normocoloreado, está consciente, orientado en tiempo y espacio, lenguaje y discurso coherentes, porte tranquilo. Presenta una buena coloración de piel y mucosas, pupilas isocóricas y normoreactivas, leve saburra lengua, no fetor. TA 120770, 70 p.m., auscultación C-P normal. En zona acromial de hombro derecho presenta un área equimótica irregular así como otra en zona de trapecio derecho, evolucionadas. Extremidades inferiores en movilidad funcional conservada, no apreciándose contracturas. Resto de la superficie corporal sin signos de violencia. No se descubre partes íntimas. Está consciente, orientado en tiempo y espacio, lenguaje y discurso coherentes, porte tranquilo.”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“Refiere estar tranquilo, algo dolorido, que cenó un bocadillo de jamón y queso y ha desayunado un café con leche y dos magdalenas, sí ha dormido, que no ha sufrido maltrato desde el último reconocimiento. Preguntado si quiere ser reconocido, manifiesta que no. Se observa normocoloreado, está consciente, orientado en tiempo y espacio, lenguaje y discurso coherentes, porte tranquilo.”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ha declarado con abogado de oficio sobre las 19:15-19:50 horas. Preguntado, si quiere ser reconocido, manifiesta que no, solo se descubre extremidades inferiores, no apreciándose patología. (Signo del cajón negativo, no alteración movilidad, no edemas). Se observa normocoloreado, está consciente, orientado en tiempo y espacio, lenguaje y discurso coherentes, porte tranquilo. Se indica que se le facilite un paracetamol.”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“Refiere estar bien, que cenó un bocadillo de chorizo y agua y ha desayunado café con leche y dos magdalenas. Que no ha sufrido maltrato. Dice que le sigue molestando la rodilla derecha. Se indica que se le facilite un analgésico. Preguntado, si quiere ser reconocido, manifiesta que no. Se observa normocoloreado, está consciente, orientado en tiempo y espacio, lenguaje y discurso coherentes, porte tranquilo. Desde el punto de vista médico-legal sí reúne condiciones para prestar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2 de marzo de 2012, se acordó el sobreseimiento provisional y el archivo de la causa, ex artículo 641-1 de la Ley de enjuiciamiento criminal, dado que de lo actuado —decía escuetamente la resolución—, no aparecía debidamente justificada la perpetración del delito que diera lugar a la formación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citado Auto fue recurrido en apelación por la representación procesal del recurrente en amparo. Solicitaba que se dejase esa resolución sin efecto y se procediese a “acordar lo necesario para que prosiga la instrucción de las actuaciones en garantía de los derechos que asisten a mi representado como víctima del delito de torturas y malos tratos”. A tal fin, reprochaba que la actividad probatoria desplegada no respondió ni a las necesidades de investigación ni a la solicitud de la parte denunciante, como era preciso ante la especial gravedad de los hechos, y que el sobreseimiento resultaba, en consecuencia, anticipado, con la consiguiente lesión de los arts. 24.1, 24.2 y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sustentar tales quejas, el recurso mantenía que las declaraciones del afectado eran indicativas del delito y que los informes médicos aportados lo confirmaban. Más allá de ello, concretaba su pretensión en aquella petición genérica que transcribimos en el párrafo anterior “acordar lo necesario para que prosiga la instrucción”, resaltando explícitamente, eso sí, la aptitud probatoria de tres diligencias de prueba no practicadas; a saber: la aportación de las actas de los registros domiciliarios efectuados, la declaración judicial prestada ante el Juez en la Audiencia Nacional y la toma de declaración al médico forense. No se aludía, en cambio, a otras pruebas que se citaban en la denuncia inicial; señaladamente, la realización de un nuevo examen médico; la aportación de las grabaciones que se hubieran practicado durante los días de su incomunicación; la información sobre las diligencias llevadas a cabo en ese período; la solicitud de declaración del abogado de oficio o, en fin, la identificación de los guardias civiles que participaron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Audiencia Provincial de Navarra, por Auto de 15 de mayo de 2012, dictado en el rollo de apelación núm. 124-2012, desestimó el recurso. Razona el Tribunal que resulta improcedente continuar un proceso penal para la práctica de diligencias que no supongan un avance relevante en la investigación, como sería el caso puesto que, tras la revisión de los autos, se constata que durante el tiempo de la detención del denunciante, en el que relata se produjeron las torturas, no constan indicios de la perpetración del maltrato policial. Al objeto de razonarlo, subraya que los reconocimientos médicos que tuvieron lugar no revelan ningún indicio de lo alegado; que no existe constatación de las lesiones en ninguno de los casos en que se manifestaron los médicos; que el médico forense no apreció ninguna lesión física ni psíquica reveladora de dichas agresiones policiales, por lo que éstas carecen de medio alguno de corroboración; y que tan solo consta la declaración del denunciante, cuya eficacia, a falta de corroboraciones periféricas, no puede revelarse suficiente para justificar la continuación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después que el apelante interesa que el procedimiento continúe, pero no expresa qué diligencias considera indispensables para la averiguación. En concreto —dice el Auto de la Audiencia Provincial—, en la denuncia se interesó la incorporación de las grabaciones realizadas por videocámara durante los días que estuvo incomunicado y la declaración del Abogado de oficio; diligencias ambas que considera inocuas para el fin pretendido, ya que, de una parte, no se grabarían las supuestas torturas denunciadas, y, de otra parte, el Letrado de oficio hubiera denunciado, en su caso, los hechos que se denuncian. Finalmente, declara que no se ha aportado ningún informe que avale que pueda el denunciante padecer algún tipo de menoscabo psíquico, por lo que no procedería tampoco acordar una pericial médico-forense en relación a una patología no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que se han vulnerado sus derechos a la integridad física y moral (art. 15 CE), a la tutela judicial efectiva (art. 24.1 CE) y a un proceso con todas la garantías y al uso de los medios pertinentes de prueba para la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queja la fundamenta en la propia denuncia interpuesta en su momento, que comprende agresiones físicas de diferente intensidad, humillaciones y agresiones de carácter sexual, coacciones, amenazas, así como maltratos de palabra lesivos para su integridad moral, indicando que la vulneración deviene de la inexistencia de un procedimiento judicial que haya permitido una reparación jurídica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de las quejas se encabeza con la cita del art. 24 CE y de diversas Sentencias de este Tribunal Constitucional y del Tribunal Europeo de Derechos Humanos. Defiende que la limitación de la investigación es más que evidente en el presente caso, ya que de todas las diligencias propuestas únicamente se llevaron a cabo por el Juzgado instructor dos de ellas, con cuya valoración la parte recurrente discrepa, habiéndose obviado las restantes. En suma, a su juicio se ha dictado el sobreseimiento y archivo de las actuaciones sin una indagación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expone la importancia que tiene la declaración del denunciante en este tipo de delitos, admitiéndose que la misma fue practicada. Sin embargo, reprocha que no se otorgara credibilidad a su testimonio a pesar de venir acompañado de corroboraciones periféricas de carácter objetivo, que lo dotaban de aptitud probatoria y verosimilitud, y subraya la persistencia en la incriminación sin ambigüedades, contradicciones o fisuras, con la misma versión a lo largo de toda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queja también, como se adelantó, de que no se practicaran todas las pruebas solicitadas. Así, en concreto, el denunciante no fue reconocido física y psicológicamente para valorar las lesiones y secuelas; no se procedió a la toma de declaración de los médicos forenses que realizaron los informes; no se aportaron a la causa las grabaciones —que dice— realizadas por videocámara durante los días en que permaneció incomunicado, como tampoco la declaración judicial que efectuó cuando fue puesto a disposición judicial en la Audiencia Nacional o la información relativa a las diligencias practicadas durante los cinco días que permaneció incomunicado; no se aportaron las copias de las actas de los registros domiciliarios del día de su detención, 18 de enero de 2011; no se tomó declaración al Abogado que le asistió de oficio, tanto en dependencias de la Guardia Civil como en la Audiencia Nacional; y, finalmente, no se ofició a las dependencias de la Guardia Civil en las que el recurrente permaneció incomunicado para que se informara acerca de las personas que participaron en la detención, o bajo cuya custodia hubiera permanecido durante la misma. En relación con esto último, aclara que la identificación de los agentes actuantes tenía como razón de ser hacer que los mismos prestasen declaración, lo que era de vital importancia para valorar la credibilidad y verosimilitud del testimonio del denunciante. Interrogar a los agentes encargados de su transferencia y vigilancia durante la detención preventiva habría podido contribuir, dice, a la explicación de los hechos y al castigo de los posibles responsables.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evidenciaría una vulneración del art. 24.2 CE, pues dichas diligencias eran absolutamente indispensables, sensatas, prudentes y convenientes para adoptar la decisión de dar continuidad a la causa u optar por el sobreseimiento libre y archivo de la misma en un delito de tal gravedad. Por lo demás, en su opinión, la perpetración del delito quedaba suficientemente acreditada con sus declaraciones, en contra de lo que declaró sin motivación el Juzgado instructor en su Auto de 2 de marzo de 2012, o de lo que concluyó el Auto dictado por la Sección Primera de la Audiencia Provincial de Navarra, de 15 de mayo de 2012, que negó la existencia de indicios sin tener en cuenta que la ausencia de signos de agresiones físicas carece de la fuerza suficiente para despejar toda sospecha; sin tomar en consideración la brevedad de los informes realizados por el médico forense y, en fin, sin advertir que no cumplían los formularios estandarizados y legalmente vigentes, otorgando a dichos informes, en suma, una calidad que no poseían.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esta lógica, concluye, el ejercido de la acción penal en denuncia de un delito de torturas se convierte en un verdadero calvario, donde a la parte denunciante le corresponde ofrecer indicios o pruebas que, sin la ayuda de la labor instructora, no puede obtener. Por todo lo cual, interesa la estimación del recurso con revocación de los Autos del Juzgado de Instrucción núm. 3 de Pamplona, de 2 de marzo de 2012, y de la Audiencia Provincial de Navarra, de 15 de mayo de 2012, y la reapertura de la causa para la práctica de las diligencias de prueba necesarias al objeto del total esclarecimiento de los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el Auto de la Sección Primera de la Audiencia Provincial de Navarra, de 15 de mayo de 2012, dictado en el recurso de apelación núm. 124-2012, formulado contra el Auto del Juzgado de Instrucción núm. 3 de Pamplona, de 2 de marzo de 2012, en procedimiento de diligencias previas núm.2189-2011, de los que se ha derivado el sobreseimiento provisional y el archivo de la causa, ex artículo 641-1 de la Ley de enjuiciamiento criminal, al no aparecer debidamente justificada la perpetración del denunciado delito de torturas.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articulada es, por tanto, la de quien denuncia haber sido víctima de torturas o malos tratos durante la detención y que, tras acudir sin éxito a la jurisdicción penal con la pretensión de que se condene a los agentes que le agredieron, pretende en amparo la revocación de aquellas resoluciones, que considera contrarias a los arts. 24.1, 24.2 y 15 CE, en su vertiente éste de prohibición de tortura y trato inhumano o degradante.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del debate, debemos comenzar recordando que este Tribunal ha tenido ocasión de pronunciarse reiteradamente acerca de las exigencias constitucionales derivadas tanto del art. 15 CE, como del art. 24 CE, en relación con decisiones judiciales de sobreseimiento y archivo de instrucciones penales incoadas por denuncia de torturas o tratos inhumanos o degradantes (por ejemplo, SSTC 224/2007, de 22 de enero, 34/2008, de 25 de febrero, 52/2008, de 14 de abril, 63/2008, de 26 de mayo, 69/2008, de 23 de junio, 107/2008, de 22 de septiembre, 40/2010, de 19 de julio, 63/2010, de 18 de octubre, 131/2012, de 18 de junio, o 182/2012, de 17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línea jurisprudencial, siguiendo la del Tribunal Europeo de Derechos Humanos sobre este particular (por todas, SSTEDH de 16 de diciembre de 2003, Kmetty c. Hungría; 2 de noviembre de 2004, Martínez Sala y otros c. España; o 16 de octubre de 2012, Otamendi Egiguren c. España), se concreta en la exigencia a las resoluciones de sobreseimiento y archivo de una motivación reforzada y acorde con la prohibición absoluta de torturas o actos inhumanos o degradantes. Se trata, por tanto, de una tutela judicial doblemente reforzada, que no encuentra parangón en otras demandas de auxilio judicial, pues se pide frente a la vulneración de un derecho fundamental absoluto y cuya indemnidad depende esencialmente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conclusión no impone, sin embargo, la apertura de la instrucción en todo caso, ni impide la hipótesis de la clausura temprana de la misma. Tampoco impone la realización de todas las diligencias de investigación posibles o propuestas. Tales obligaciones, si se exigieran sin excepción o por defecto, conducirían muchas veces a instrucciones inútiles en perjuicio de los intereses de los imputados y de una racional gestión de los recursos de la Administración de Justicia. En ese sentido, hemos dicho que “resulta inútil, e incluso improcedente, cualquier medida investigadora que, ya sin poder alterar la convicción del Juez, prolongase indebidamente la causa, contrariando los propios derechos constitucionales que obligan a no alargar innecesariamente la fase sumarial en perjuicio de los querellados” (por todas, STC 182/2012, de 17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Recordábamos en esa STC 182/2012, de 17 de octubre, que el Tribunal Europeo de Derechos Humanos afirma que las acusaciones de malos tratos deben estar apoyadas por elementos de prueba apropiados (STEDH de 22 de septiembre de 1993, Klaas c. Alemania) y que para el establecimiento de los hechos se sirve del criterio de la prueba “más allá de toda duda razonable”, pudiendo dicha prueba resultar de una serie de indicios o presunciones no refutadas, suficientemente graves, precisas y concordantes (SSTEDH de 18 enero de 1978, Irlanda c. Reino Unido y de 8 de noviembre de 2011, Halat c. Turquía). En otras ocasiones, el Tribunal Europeo de Derechos Humanos ha utilizado como patrón de la exigencia de una investigación de malos tratos, bien que “las denuncias de malos tratos deben ir apoyadas de pruebas adecuadas” (STEDH de 10 mayo de 2011, Gladovic c. Croacia, § 48), bien que “un individuo afirme de manera defendible” su existencia (por todas, STEDH de 8 de marzo de 2011, Beristain Ukar c. España, § 28 y de 24 julio de 2012, B.S. c. España, § 40); o utiliza las locuciones “afirmación creíble” o “alegaciones serias de maltrato” (en STEDH 13 de julio de 2010, Parnov c. Moldavia, § 32 y § 33) o “cuando un individuo hace una declaración creíble” (en STEDH 10 de abril de 2008, Dzeladinov y otros c. Macedonia § 69); o bien que exista una “sospecha razonable” (por todas, STEDH de 26 mayo de 2009, Naíf Demirci c. Turquía, § 23); o una “queja razonable” (STEDH de 11 abril de 2000, Sevtap Veznedaroglu c. Turquía, § 32), descartando la vulneración cuando “las quejas presentadas por el demandante no revelan apariencia alguna de violación” (en STEDH de 20 de septiembre de 2005, Frik c. Turquía § 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de las concretas pruebas tomadas en consideración, enseña la jurisprudencia constitucional y la dimanante del Tribunal Europeo de Derechos Humanos que los reconocimientos médicos efectuados desde que se produce la detención constituyen un elemento especialmente relevante. En tal sentido, se ha afirmado que “un examen médico, junto con el derecho de acceso a la asistencia letrada y el derecho a informar a un tercero de la detención, constituyen salvaguardas fundamentales ante el maltrato de las personas detenidas que pueden ser aplicadas desde el primer momento de la privación de libertad” (en SSTEDH de 18 de septiembre de 2008, Türkan c. Turquía, y 13 de julio de 2010, Parnov c. Moldavia). Por su parte, la trascendencia de la declaración del denunciante se ha destacado con singular acento en la muy reciente STEDH, de 16 de octubre de 2012, Otamendi Egiguren c.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esas garantías se han cumplido debidamente en el presente caso. Como expusimos en los antecedentes de este pronunciamiento, las resoluciones impugnadas acordaron el archivo del procedimiento por falta de indicios del delito que dotasen de credibilidad a la denuncia y a las declaraciones posteriores del denunciante, al no resistir su contraste con los datos obrantes en los informes médicos que se realizaron en el curso de la detención, de los que no se deducía sospecha alguna. Se ofrecían, junto a ello, razones para rechazar la práctica de las restantes diligencias de prueba interesadas, que no permitirían variar el juicio alcanzado. Y, en efecto, de los antecedentes obrantes en la causa, sustancialmente la denuncia, la declaración del demandante de amparo ante el Juzgado de instrucción —que se practicó en debida forma según reconoce el propio recurrente en la página 11 de su demanda— y los informes médicos emitidos, cabe concluir, como hicieran los órganos judiciales, que no existía una “sospecha razonable” o una “afirmación defendible” en los términos que define la STEDH de 16 de octubre de 2012 (Otamendi Egiguren c. España) que convierta en inconstitucional el cierre anticipado de la instrucción. Por el contrario, la investigación fue efectiva y suficiente: se escuchó al denunciante; se consideraron —aunque no se acogieran sus alegaciones a falta de datos que las corroboraran— los términos de su extensa denuncia, y se recabaron los informes médicos, en los que, lejos de apreciarse indicios de malos tratos y torturas, se advierte que el denunciante se opuso a ser reconocido en varias ocasiones y negó expresamente haber sido maltratado, como destacan los hechos probados de las resoluciones recurridas en amparo. Por lo demás, desde el punto de vista de la motivación, el Auto de apelación puso de manifiesto razones suficientes e individualizadas, ajustadas a las circunstancias del caso concreto, que justificaban el cierre de la causa, explicándose asimismo la inutilidad de desarrollar otros medios de indagación.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resaltarse, de otra parte, que en el recurso de apelación se articulaba una petición genérica (“acordar lo necesario para que prosiga la instrucción”), sin que el recurrente procediera a reiterar la pretensión de la práctica de ciertas pruebas solicitadas en el escrito de denuncia, como por ejemplo la realización de un nuevo examen médico; la aportación de las grabaciones —que dice— realizadas por videocámara durante los días de incomunicación; la comunicación de las diligencias llevadas a cabo durante el tiempo de aquélla, la solicitud de declaración del abogado de oficio o, en particular, la identificación de los guardias civiles que participaron en los hechos (únicamente su identificación, pues nunca llegó a solicitarse el interrogatorio de los mismos). Pese a ello, ahora, en el procedimiento de amparo, retoma dichas pretensiones; denuncia el supuesto déficit probatorio y recalca las consecuencias aparejadas que observa en los derechos fundamentales aducidos. Omite, sin embargo, que tal pretensión fue abandonada en su recurso de apelación. Es llamativo, por tanto, que se imputen a los órganos judiciales quiebras en las garantías constitucionales ante hechos tan graves como los denunciados cuando el recurrente ni siquiera utilizó los recursos judiciales previstos en el ordenamiento procesal español para hacerlas valer.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obvio que quien formula denuncias de este tipo debe encontrar en los órganos judiciales una respuesta activa de indagación e investigación comprometida frente a hechos tan nefandos, asegurando las garantías de la doctrina expuesta en el fundamento jurídico anterior, pero es igualmente insoslayable la exigencia de una debida diligencia en la formulación de la queja, lo que incluye el empleo procedente de los remedios y recursos procesales a su alcance, pues de otro modo la reparación de la lesión, de haberse producido, se convierte en inviable en el cauce procesal regulado.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ese punto de vista, y a tenor de las disposiciones de la Ley Orgánica del Tribunal Constitucional (LOTC), en lo referente a la queja formulada por limitación de medios de prueba (art. 24.2 CE), no se cumplieron los requisitos de acceso al recurso de amparo, pues la exigencia de invocación del art. 44.1 c) LOTC incluye el deber de reiteración de la denuncia en la cadena de recursos (por todas, STC 62/1999, de 26 de abril, FJ 3). Como quiera que el propio recurrente considera esenciales esas pruebas no cumplimentadas, el defecto procesal reseñado alcanza a todo el recurso de amparo, al no haberse dado oportunidad a la Audiencia Provincial, a través de dichas pruebas y en caso de estimarlas procedentes, para reparar la lesión eventualmente causada.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las anteriores consideraciones —tanto las relativas al fondo del asunto como las enunciadas en atención al principio de subsidiariedad del amparo— se entiende procedente inadmitir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