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14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17 de julio de 2012, el Procurador de los Tribunales don Marco Aurelio Labajo González, en nombre y representación de don Álvaro Ramírez Montoya, interpuso recurso de amparo, contra el Auto de la Sección Primera de la Audiencia Provincial de A Coruña, de 4 de junio de 2012, dictado en el rollo de apelación núm. 438-2011, y contra el Auto del Juzgado de lo penal núm. 5 de A Coruña, de 17 de febrero de 2012, dictado en el procedimiento abreviado 609-2003.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Autos desestimaron la solicitud de prescripción de la pena de un año de prisión impuesta por Sentencia firme que condenó al demandante como autor de un delito de hurto, con la accesoria de inhabilitación especial para el derecho de sufragio pasivo durante el tiempo de la condena, y con la condena al pago en concepto de responsabilidad civil de 1.800 euros y del coste de reposición de la tarjeta que sustrajo.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aduce que las resoluciones judiciales impugnadas han vulnerado derechos garantizados en los arts. 24.1, 17.1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solicita en su demanda la suspensión de la ejecución de la condena, con el fin de evitar daños y perjuicios de imposible reparación al ser la libertad personal del demandante el derecho fundamental implicado en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Primera de este Tribunal, por providencia de 28 de enero de 2013, admitió a trámite la demanda de amparo y acordó la formación de pieza separada para la tramitación del incidente de suspensión, y se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escrito registrado en este Tribunal el 4 de febrero de 2013, la representación procesal del demandante reiteró la solicitud de suspensión hecha en su escrito de demanda, al poder ocasionar la ejecución de la condena un perjuicio grave y de imposible o muy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12 de febrero de 2013, el Fiscal ante el Tribunal Constitucional, tras exponer la doctrina constitucional relativa a la suspensión de las resoluciones judiciales informó de forma favorable a la suspensión de la pena privativa de libertad de un año de prisión, única solicitada por el demandante, y de la accesoria impuesta.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solicitud de suspensión mediante otrosí está limitada a la pena de un año de prisión al vincular exclusivamente y de forma sintética la petición con el derecho a la libertad personal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8/2011, de 14 de febrero, contiene la interpretación que este Tribunal ha realizado del art. 56.1 de la Ley Orgánica del Tribunal Constitucional, en la redacción dada por la Ley Orgánica 6/2007, de 24 de mayo, que afirma “que procederá, en principio, acordar la suspensión de resoluciones judiciales que afectan a bienes o derechos del recurrente de amparo de imposible o muy difícil restitución a su estado anterior” (ATC 130/2010, de 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criterio de suspensión expuesto concurre en la ejecución de fallos judiciales que condenan a penas privativas de libertad, ya que “la libertad constituye un derecho cuya naturaleza convierte el perjuicio irrogado en irreparable, en caso de estimarse el amparo una vez cumplida parcial o totalmente la pena” (por todos ATC 15/2010, de 1 de febrero, FJ 1). Si bien este criterio no es absoluto, ya que en dichos supuestos “deben también ponderarse otras circunstancias relevantes como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(ATC 22/2009, de 26 de enero, FJ 2); “significativamente destaca la duración y gravedad de la pena impuesta, porque, en ella se expresa la reprobación que el ordenamiento asigna al hecho delictivo y, por consiguiente, la magnitud del interés general en su ejecución” (por todos, ATC 109/2008,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la tesis del Ministerio Fiscal, procede estimar la pretensión de suspensión de la Sentencia impugnada en cuanto al cumplimiento de la pena privativa de libertad, porque su ejecución puede ocasionar al demandante un perjuicio irreparable que haría perder su finalidad al recurso de amparo, teniendo en cuenta que en el presente caso la duración de la pena impuesta es de un año de prisión (AATC 59/2008, de 20 de febrero, FJ 2; y 172/2008, de 23 de junio, FJ 2). Al acceder a la suspensión no se ocasiona perturbación grave de los intereses generales ni se está afectando a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misma suerte debe correr la pena accesoria de inhabilitación para el derecho al sufragio pasivo, que, de acuerdo con la doctrina consolidada de este Tribunal, debe seguir a la pena principal cuando ésta es de privación de libertad (por todos, AATC 144/1984, de 25 de enero, 793/1988, de 20 de junio, 267/1995, de 2 de octubre, y 97/1997, de 7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Otorgar la suspensión solicitada de la ejecución de la pena privativa de libertad de un año de prisión y accesoria de inhabilitación especial para el derecho de sufragio pasivo durante el tiempo de condena, impuesta a don Álvaro Ramírez Montoya.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