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7837-2006, interpuesto por el Consejo de Gobierno de La Rioja contra los arts. 50.1 y 54 bis de la Ley 43/2003, de 21 de noviembre, de montes, en la redacción dada por el art. único, apartados 32 y 33, de la Ley 10/2006, de 28 de abril.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julio de 2006, el Letrado de la Comunidad Autónoma de La Rioja, en la representación que legalmente ostenta, promueve recurso de inconstitucionalidad contra los arts. 50.1 y 54 bis de la Ley 43/2003, de 21 de noviembre, de montes, en la redacción dada por el art. único, apartados 32 y 33, de la Ley 10/2006, de 28 de abril. 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prohibir durante treinta años el cambio de uso de los terrenos incendiados, el art. 50.1 no deja, realmente, margen alguno a la normativa autonómica, más allá de unas aparentes excepciones, y de la posibilidad de aumentar el plazo de prohibición. La capacidad de desarrollo de las Comunidades Autónomas es prácticamente nula, en la medida en que los aspectos verdaderamente importantes de la norma son inmodificables. Así, no puede variarse el plazo, salvo para aumentarlo, lo cual deja pocas posibilidades de cambio, dado el periodo de treinta años de prohibición. En cuanto a este aspecto temporal, la norma, que teóricamente podría pasar por un mínimo susceptible de ampliación, es en realidad un máximo que no deja fisuras.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las aparentes excepciones que recoge, la norma no permite al legislador autonómico excepcionar, matizar o moderar la intensidad de la prohibición por razón de circunstancias sobrevenidas, que en ocasiones pueden responder a acusadas características ligadas al interés general (por ejemplo, determinadas obras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 50.1, y sin perjuicio de las excepciones que el mismo abre, impone un mínimo a todas las Comunidades Autónomas, lo que entra en colisión con las competencias de la Comunidad Autónoma de La Rioja, exclusivas en lo referente a la ordenación del territorio y urbanismo, (art. 8.1.16 del Estatuto de Autonomía para La Rioja: EAR) y de desarrollo y ejecución de la legislación básica del Estado en materia de protección del patrimonio forestal (art. 9.1 y 11 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exclusiva sobre ordenación del territorio y urbanismo ha de integrarse sistemáticamente con aquellas otras estatales que, si bien en modo alguno podrían legitimar una regulación general del entero régimen jurídico del suelo, pueden propiciar, sin embargo, que se afecte puntualmente a la materia urbanística (establecimiento de las condiciones básicas que garanticen la igualdad en el ejercicio del derecho de propiedad urbana, determinados aspectos de la expropiación forzosa o de la responsabilidad administrativa). Pero compete a las Comunidades Autónomas emanar normas que afecten a la ordenación urbanística, en las que se entienden comprendidas las facultades inherentes a la clasificación y tipos de suelo, entre ellos el forestal, y a su correspondiente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imponer un mínimo —la prohibición del cambio de uso del suelo forestal incendiado durante al menos treinta años—, puede entenderse que se está limitando o invadiendo, de un lado, la competencia exclusiva de la Comunidad sobre la ordenación del territorio y urbanismo y, de otro, la competencia de desarrollo y ejecución de legislación básica del Estado, porque la minuciosidad con que se desenvuelve tal base desemboca en un vaciamiento de las competencias autonómicas para la protección del patrimonio forestal. Esta regulación estatal deja un margen dentro del cual las Comunidades Autónomas pueden ejercer sus competencias, e incluso excepcionar dicha prohibición general de treinta años, que actúa como norma mínima, si bien puede entenderse que tal mínimo, dentro del concepto de lo básico, entra en colisión con los títulos de la Comunidad Autónoma de La Rioja contenidos en los arts. 8.1.16 y 9.1 y 11 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54 bis, que regula el uso de las pistas forestales y el acceso público al monte, tiene como antecedente el art. 13 del Real Decreto-ley 11/2005, de 22 de julio, por el que se aprueban medidas urgentes en materia de incendios forestales, que estuvo en vigor por un período de tiempo limitado. Confrontando ambos preceptos, puede decirse que el art. 54 bis es, en cierto modo, una suerte de reformulación del primero, si bien con la importante y esencial diferencia de la vigencia indefinida, que acentúa la desproporción de la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Confluyen aquí otros títulos estatutarios de la Comunidad Autónoma de La Rioja, tales como, entre otros, los que le atribuyen competencia exclusiva en materia de promoción y ordenación del turismo en su ámbito territorial (art. 8.1.9), cultura (art. 8.1.23) o promoción del deporte y de la adecuada utilización del ocio (art. 8.1.27), que deben concurrir, en todo caso, con las competencias estatales, que pueden imponerles límites puntuales. El nuevo art. 54 bis de la Ley 43/2003 establece una prohibición prácticamente absoluta de circulación motorizada, matizada por ciertas y contadas excepciones. La norma básica se produce con un grado tal de radicalidad y rigor que no puede predicarse su condición de tal, al impedir a la Comunidad Autónoma de La Rioja disponer de un mínimo margen de actuación que le permita, mediante el ejercicio de su competencia de desarrollo legislativo y ejecución, establecer las medidas complementarias que satisfagan sus peculiares intereses; e, igualmente, ejercer sus competencias sectoriales de carácter exclusivo.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Cabría sostener, en principio, que el nuevo art. 54 bis no es disconforme con el orden constitucional de distribución de competencias, argumentado que la norma únicamente establece una limitación específica, con excepciones, referida a la circulación con vehículos a motor por pistas forestales situadas fuera de la red de carreteras, calificable como medida sustancialmente medioambiental, en cuanto dirigida a preservar el monte y prevenir los incendios forestales; y que las excepciones dejan margen para el desarrollo normativo autonómico. Sin embargo, debe analizarse si la medida contenida en la norma cuestionada resulta conforme con el criterio de proporcionalidad como parámetro de constitucionalidad de aquélla (requerida por el canon de admisibilidad de afectación transversal recogido en la STC 101/2005, de 20 de abril). Desde esta perspectiva, es notoriamente desproporcionado establecer una prohibición absoluta sin posibilidad de modulación o graduación en atención a aspectos como el tipo de vehículo, la naturaleza del monte, la Comunidad Autónoma en que se halle radicado, la época del año y hora del día en que se circule o cualquier otra circunstancia que pueda tener incidencia en el riesgo de incendio forestal. En la medida en que el riesgo de incendio forestal se incrementa o decrece en función de factores como los indicados u otros similares, es indudable que hubo de haberse previsto la ponderación de los mismos al objeto de graduar la prohibición que establece la norma cuestionada, para que resultara proporcionada a la consecución del fin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falta de proporcionalidad permite afirmar que la afectación transversal del título competencial del Estado, que se ciñe al ámbito de lo básico (art. 149.1.23 CE), en su condicionamiento de las competencias sectoriales de la Comunidad Autónoma, no es conforme con el orden constitucional de distribución de competencias, al impedir o, por lo menos, dificultar el ejercicio sobre los montes de las competencias sectoriales que tiene estatutariamente atribuidas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imposibilitar la graduación o modulación de la rigurosa limitación en aspectos como los señalados, se cercenan de raíz las competencias de desarrollo normativo y de ejecución de la Comunidad Autónoma, lo que no ocurriría con otra solución normativa más respetuosa con el principio de proporcionalidad, evidenciando así la vulneración de las competencias que corresponden a la Comunidad Autónoma de La Rioja, conforme al art. 9.1 y 11 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54 bis contraviene la Constitución desde otra perspectiva, al afectar a la esfera de la libertad de la persona, incidiendo en el derecho a circular libremente por el territorio nacional, contemplado, con diferente alcance, en los arts. 19 y 139.2 CE, así como en el derecho a disfrutar del medio ambiente, singularmente del monte, conforme al art. 45 CE, en la medida en que esa prohibición supone, en la práctica, la imposibilidad de disfrutar del monte, o de su mayor parte, para la inmensa mayoría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tiene señalado que la Constitución no impide al Estado proteger bienes jurídicos constitucionalmente reconocidos a costa del sacrificio de otros bienes igualmente reconocidos, ya se trate de derechos fundamentales, ya de otros bienes o valores que gozan de la protección constitucional (SSTC 196/1987, de 11 de diciembre; 55/1996, de 28 de marzo, y 49/1999, de 5 de abril). Pero tales restricciones son tolerables siempre y cuando sean proporcionadas, de modo que contribuyan a la consecución del fin constitucionalmente legítimo al que propendan y hayan de ser inevitablemente preferidas a otras que pudieran suponer un sacrificio menor para la esfera de libertad protegida (STC 66/1991, de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el caso del art. 54 bis, que impone una prohibición absoluta de acceso motorizado, claramente desmesurada con el fin que pretende, que se pudo lograr con medidas mucho menos radicales y restrictivas de los derechos reconocidos en la Constitución, graduando las limitaciones necesarias a la circulación motorizada mediante la toma en consideración de factores como los que antes se indicaron, u otros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septiembre de 2006, la Sección Tercera acordó admitir a trámite el recurso y, de conformidad con lo establecido en el art. 34 de la Ley Orgánica del Tribunal Constitucional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29 de septiembre de 2006, la Abogada del Estado se personó en el proceso en nombre del Gobierno, solicitando una prórroga en el plazo concedido para formular alegaciones, prórroga de ocho días en el plazo ordinario, que le fue concedida por providencia de la Sección Tercera de 4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6 de octubre de 2006, el Presidente del Congreso de los Diputados comunicó el acuerdo de la Mesa de la Cámara en el sentido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11 de octubre de 2006, el Presidente del Senado comunicó que la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Abogada del Estado, en la representación que legalmente ostenta, presentó su escrito de alegaciones el día 27 de octubre de 2006, instando la desestimación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impugnación del art. 50.1, no se alega nada respecto del apartado 1.1 del precepto, ni del apartado 1.1 b). En cuanto al art. 54 bis, las alegaciones se concentran en su apartado 2, sin mencionar siquiera los apartados 1 y 3. La falta de alegaciones sobre estos extremos debe traer como consecuencia su exclusión del recurso de inconstitucionalidad, como expresa la doctrina constitucional (SSTC 96/2002, de 25 de abril, FJ 4; 16/2003, de 30 de enero, FJ 9; y 48/2003, de 12 de marzo, FJ 3), según la cual compete a la recurrente la carga de fundamentar debidamente su impugnación respecto de todos y cada uno de los preceptos legales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50.1 contiene mandatos inequívocamente básicos. La prohibición de la letra b) constituye una medida en garantía de la recuperación de los terrenos forestales incendiados, que reconoce un amplio margen de desarrollo normativo a las Comunidades Autónomas, a las que corresponde determinar las características de la actividad incompatible con la regeneración de la cubierta vegetal, y el plazo de duración de la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del cambio de uso forestal al menos durante treinta años, establecida en la letra a) del apartado 1, y las excepciones previstas a continuación, se encuentran extensamente justificadas en la exposición de motivos de la Ley 10/2006, habiendo considerado necesario el legislador estatal, en ejercicio de su competencia sobre montes, ex art. 149.1.23 CE, adoptar medidas disuasorias más intensas para evitar la producción de incendios, estableciendo dicha prohibición con el fin de eliminar cualquier expectativa que pudiera incentivar la provocación de incendios con la finalidad de obtener un beneficio económico de dicho cambio de uso. Por otra parte, la medida persigue posibilitar físicamente la recuperación del terreno forestal a su estado anterior a la producción del incendio. Es, por lo tanto, una medida protectora del terreno forestal, característica que justifica la amplitud del plazo, que no es por ello arbitrario sino exigido por la naturaleza de las cosas, ni pretende en modo alguno cercenar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aplicable la doctrina constitucional (SSTC 101/2005, de 20 de abril; 102/1995, de 26 de junio; 170/1989, de 19 de octubre y 21/1999, de 25 de febrero), que admite que, en determinados supuestos, la legislación básica puede, por razones de protección directa del medio ambiente, contener medidas de especial intensidad si ello es necesario para garantizar dicha protección. Es por ello perfectamente constitucional que la legislación básica estatal incorpore prohibiciones o medidas singulares, fundamentadas en la finalidad de protección de los montes y de sus aprovechamientos forestales, cuando se considere que son necesarias para alcanzar los objetivos derivados de dicha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correcta la invocación del título competencial autonómico sobre ordenación del territorio y urbanismo, porque el precepto no tiene esa finalidad, ni trata de ordenar usos del suelo ni planificar el territorio, sino la claramente medioambiental, para la protección del patrimonio forestal. Aunque es innegable que la medida tiene una repercusión final sobre el territorio, prima su vinculación a la protección de los montes, pues la misma pretende exclusivamente salvaguardar el terreno forestal para evitar su incendio y, en caso de producirse, facilitar su regeneración. De acuerdo con la jurisprudencia constitucional sobre el efecto “transversal” de la competencia medioambiental (en este supuesto sobre montes y aprovechamientos forestales), como consecuencia de esta decisión de carácter ambiental, se produce un condicionamiento mínimo, pero constitucionalmente legítimo, de la política de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puede olvidarse la doctrina constitucional sobre la concurrencia de distintas competencias sobre el mismo territorio. Las competencias autonómicas que se proyectan sobre el territorio no pueden anular el ejercicio de las competencias estatales [STC 61/1997, de 20 de marzo, FFJJ 6 b) y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mismos términos, tampoco pueden encuadrarse las excepciones a las antedichas prohibiciones, establecidas en los tres últimos párrafos del art. 50.1, en la materia de ordenación del territorio, por el hecho de que se mencionen instrumentos de planeamiento. La utilización del concepto planeamiento de una manera completamente genérica no obedece a una finalidad de ordenación del uso del suelo, ni determina consecuencias sobre ella. Se amparan excepciones cuando la planificación, previa al incendio, asegure, de una parte, que no ha podido ser el cambio de uso la finalidad perseguida por el incendio (en el caso en que éste hubiera sido provocado) y, de otra, que no es preciso establecer un plazo de regeneración, puesto que el instrumento de planeamiento preveía el cambio de uso antes del incendio. El requisito de que el planeamiento esté previamente aprobado es una condición lógica para su eficacia (número 1), y, para el caso de los instrumentos de planeamiento pendientes de aprobación, el requisito de que hubiera sido ya objeto de evaluación ambiental favorable o de información pública se ciñe estrictamente a la finalidad perseguida: la previa y notoria existencia de un instrumento de planeamiento con vocación de cambiar el uso forestal, en el que las perspectivas medioambiental y forestal han sido ya tenidas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vulneración de la competencia autonómica de desarrollo normativo, admitiendo que la prohibición es más densa que la contenida en la redacción original de 2003, ello no puede considerarse en sí mismo inconstitucional, sino que entra dentro del margen de decisión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 asumiendo la intensidad de la medida prohibitiva básica, no puede decirse que se elimine absolutamente cualquier desarrollo normativo autonómico. La remisión a la competencia autonómica, para “garantizar las condiciones para la restauración de los terrenos forestales incendiados”, reconoce indudablemente un amplio espacio de actuación normativa autonómica, que no queda enervado por la previsión de la letra a), que permite margen de desarrollo, en la medida en que se constituye como un mínimo. No puede obviarse tampoco que el apartado b) remite la prohibición relativa a la realización de actividades incompatibles con la regeneración de la cubierta vegetal al período que determine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54 bis no tiene como finalidad establecer una regulación sobre el monte como lugar donde se practican actividades como el ocio, el turismo o el deporte. Como el resto de la Ley, la perspectiva desde la que se considera el monte y los aprovechamientos forestales es la propia de este título competencial y no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es un precepto evidentemente básico, que reconoce el más amplio margen de desarrollo normativo a las Comunidades Autónomas, en el que pueden subsumirse las hipotéticas regulaciones autonómicas sobre el acceso a los montes desde la perspectiva del turismo, deporte u 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2 y 3 figuraban, bien que con vigencia temporal limitada para el año 2005, en el Real Decreto-ley 11/2005, de 22 de julio, en cuya exposición de motivos se comprueba su relación directa con la prevención de actividades que pudieran entrañar algún riesgo para la producción de incendios. Ambos apartados deben encuadrarse competencialmente en el ámbito de la legislación básica del Estado sobre montes y aprovechamientos forestales, en la medida en que persiguen su adecuada protección, especialmente para la prevención de incendios. Aquí reside la diferencia con el precedente de la STC 101/2005, FJ 5, que analizaba previsiones no vinculadas a la protección medioambiental, sino “regulaciones positivas de las actividades correspondientes a las materias de promoción del turismo y de la cultura, el desarrollo comunitario y el 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justifica en la lucha contra los incendios, en esta ocasión con una medida de carácter preventivo. Se trata de evitar que la libre circulación por pistas forestales de vehículos a motor pueda dar lugar a la producción de incendios como consecuencia de su funcionamiento incorrecto y, por otra parte, de evitar que su presencia entorpezca la extinción de incendios, si colapsan la circulación de los vehículos en los que se transportan los medios para su extinción.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la medida en que la prohibición de circulación de vehículos a motor afecta a la libertad de circulación prevista en el art. 19 CE, puede considerarse como una condición básica que delimita su ejercicio, que como tal corresponde establecer con carácter general al Estado de acuerdo con lo previsto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precepto reconoce expresamente margen para el desarrollo normativo autonómico, que puede modular la prohibición de circulación en atención a una serie de criterios (adecuación del vial, señalización, aceptación por los titulares, mantenimiento y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alegada vulneración de los arts. 19, 45 y 139.2 CE que se imputa al art. 54 bis, no se entiende la alusión al art. 139.2 CE, que se refiere a la prohibición de adoptar medidas que obstaculicen directamente la libertad de circulación y establecimiento de personas, ni cómo el precepto impugnado puede afectarlo, teniendo en cuenta que dicho precepto constitucional se refiere a la unicidad del orden económico nacional, como expresan las SSTC 88/1986, de 1 de julio, o 64/1990, de 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amparo de la misma jurisprudencia constitucional citada en la demanda, no puede decirse que el sacrificio que pueda suponer para el disfrute del medio ambiente el hecho de no poder transitar libremente en vehículos a motor por pistas forestales sea en absoluto desproporcionado, hasta el punto de llegar a ser inconstitucional, cuando el principio de prohibición general está justificado precisamente en la conservación de los montes frente a agresiones voluntarias, negligentes o simplemente fortuitas. El interés que está en juego, y al que pretende atender la disposición legal, es la conservación del medio ambiente, presupuesto necesario para su disfrute. Parecidos argumentos pueden esgrimirse en relación con la vulneración del derecho a la libertad de circulación. El sacrificio que puede imponerse a este derecho se encuentra justificado por un motivo razonable, sin que la limitación impuesta afecte en modo alguno a su núcleo sustancial.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54 bis.3, no puede olvidarse que la Ley establece el mandato en términos de habilitación u opción que las Comunidades Autónomas pueden o no concretar “cuando el riesgo de incendio así lo aconseje”, por lo que no cabe duda del amplio margen de desarrollo normativo que reconoce este precepto a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se opone al contenido del suplico de la demanda, en el que se solicita la anulación de todos los actos de aplicación concreta de los preceptos impugnados, pues tal pretensión es contraria a lo dispuesto en el art. 40.1 LOTC. Resultaría aplicable la doctrina expresada en las SSTC 195/1998, de 1 de octubre, FJ 5, o 194/2004, de 4 de noviembre, FJ 24, sobre los efectos de las Sentencias de inconstitucionalidad en materia medioambiental cuando la ejecución inmediata del fallo pueda perjudicar al conjunto de bienes jurídicos protegidos por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abril de 2013 se señaló para deliberación y votación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La Rioja contra los arts. 50.1 y 54 bis de la Ley 43/2003, de 21 de noviembre, de montes, en la redacción dada por el art. único, apartados 32 y 33, de la Ley 10/2006,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detalle en los antecedentes, el Consejo de Gobierno de La Rioja considera que el art. 50.1 entra en colisión con los arts. 8.1.16 del Estatuto de Autonomía para La Rioja (EAR), que atribuye a la Comunidad Autónoma la competencia exclusiva en materia de ordenación del territorio y urbanismo— y 9.1 y 11 EAR —que atribuyen a la Comunidad Autónoma la competencia de desarrollo legislativo y ejecución, en el marco de la legislación básica del Estado y, en su caso, en los términos que la misma establezca, en las materias de protección del medio ambiente, normas adicionales de protección del medio ambiente y del paisaje, espacios naturales protegidos y protección de los ecosistemas (apartado 1) y montes, aprovechamientos y servicios forestales, vías pecuarias y pastos (apartado 11)—. Por su parte, el art. 54 bis se reputa contrario a los citados apartados 1 y 11 del art. 9 EAR, afectando asimismo a las competencias exclusivas asumidas por la Comunidad Autónoma en las materias de promoción y ordenación del turismo, cultura, y promoción del deporte y de la adecuada utilización del ocio (art. 8.1, apartados 9, 23 y 27 EAR, respectivamente). Además, por motivos no competenciales, el art. 54 bis se impugna por vulneración de los arts. 19, 45 y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sostiene que ambos preceptos son manifestación de la competencia atribuida al Estado en materia de montes por el art. 149.1.23 CE, mencionando asimismo otras competencias conexas como, señaladamente, la legislación básica sobre protección del medio ambiente. En lo que se refiere al art. 54 bis, descarta la alegada vulneración de los arts. 19, 45 y 139.2 CE, por considerar proporcionada la prohibición contenida en el mismo, al estar justificada por la finalidad de conservación de los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149.1.23 CE atribuye al Estado la competencia exclusiva sobre dos ámbitos diferenciados: de una parte, la legislación básica sobre protección del medio ambiente, sin perjuicio de las facultades de las Comunidades Autónomas de establecer normas adicionales de protección; de otra, la legislación básica sobre montes, aprovechamientos forestales y vías pecuarias. Ambos han sido invocados en las alegaciones de las partes, y ambos tienen reflejo en la ley de la que forman parte los preceptos objeto de impugnación. En efecto, si la disposición final segunda, apartado 1, de la Ley 10/2006, de 28 de abril, por la que se modifica la Ley 43/2003, de 21 de noviembre, de montes, hace referencia genérica al art. 149.1.23 CE, sin precisar su encuadramiento en uno u otro ámbito, el apartado 1 de la disposición final segunda de la Ley 43/2003, en la que los preceptos impugnados han quedado integrados, menciona expresamente ambos títulos competenciales, al proclamar que la misma “se dicta al amparo de lo dispuesto en el artículo 149.1.23 de la Constitución y tiene, por tanto, carácter básico (legislación básica sobre montes, aprovechamientos forestales y protección del medio ambiente)”, sin perjuicio de otros títulos competenciales que amparan determinados preceptos de la Ley, que no afectan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en la reciente STC 49/2013, de 28 de febrero, recaída en el recurso de inconstitucionalidad núm. 988-2004, interpuesto contra la misma Ley 43/2003, “en materias como la ordenación del territorio, el urbanismo, el medio ambiente y la ordenación de los recursos forestales existen profundas interacciones. Para determinar cuál es la materia y, por tanto, el título competencial de referencia es necesario atender tanto a la finalidad como al contenido de la norma o, dicho de otra forma, a las técnicas legislativas utilizadas para alcanzar dicha finalidad (STC 28/1997, de 13 de febrero, FJ 4). En aplicación de esta doctrina, el título competencial preferente y más específico desde el que ha de juzgarse la ley impugnada, cuyo objeto es la regulación del régimen jurídico de los montes públicos y privados, es el referido a la competencia exclusiva del Estado en materia de legislación básica sobre montes y aprovechamientos forestales (art. 149.1.23 in fine CE), ello sin perjuicio de que exista una vertiente ambiental integrada en este título competencial sectorial y de que, incluso, algunos preceptos de la Ley, que en su momento analizaremos, pudieran encontrar su justificación constitucional en otros títulos competenciales”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interacción entre los citados títulos competenciales y, específicamente, la vertiente ambiental integrada a la que hemos hecho referencia, aparece reflejada tanto en la exposición de motivos de la Ley 43/2003 como en su objeto y principios inspiradores (arts. 1 y 3) y, particularmente, en su art. 4, que establece la función social de los montes en los siguientes términos: “Los montes, independientemente de su titularidad, desempeñan una función social relevante, tanto como fuente de recursos naturales como por ser proveedores de múltiples servicios ambientales, entre ellos, de protección del suelo y del ciclo hidrológico; de fijación del carbono atmosférico; de depósito de la diversidad biológica y como elementos fundamentales del paisaje. El reconocimiento de estos recursos y externalidades, de los que toda la sociedad se beneficia, obliga a las Administraciones públicas a velar en todos los casos por su conservación, protección, restauración, mejora y ordenado aprovechamiento.”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la misma Sentencia, al analizar determinadas impugnaciones relativas a la regulación sobre los incendios forestales, que guardan estrecha relación con el objeto del presente proceso constitucional, hemos reconocido que “la tarea de deslindar las distintas materias implicadas, de acuerdo con la finalidad predominante de la norma, a los efectos de delimitar los títulos competenciales aplicables, contiene, a veces, elevadas proporciones de convención y artificio. En este caso, la finalidad de las normas impugnadas es tanto la de prevención y superación de una situación de grave riesgo o catástrofe, como la de protección del monte cuya misma existencia se pone en riesgo por el incendio.”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 en estos mismos términos la controversia competencial que se somete ahora a nuestro examen, resulta título competencial más específico y, por ello, prevalente, el que atribuye al Estado la competencia exclusiva en materia de legislación básica sobre montes y aprovechamientos forestales (art. 149.1.23 in fine CE), título que integra una vertiente de protección del medio ambiente, que habremos de tomar en consideración en atención a la finalidad perseguida por las normas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adentrarnos en el análisis individualizado de los preceptos impugnados, procede considerar el óbice procesal planteado por la Abogada del Estado, relativo a la falta de alegaciones de la Comunidad recurrente sobre determinados apartados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la STC 195/2012, de 31 de octubre, “resulta de aplicación la doctrina recopilada en la STC 158/2011, de 19 de octubre, según la cual ‘no basta la mera invocación formal de los preceptos en la demanda (STC 98/1989, FJ 5) o, incluso, …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FJ 7 b); 214/1994, FJ 3; 195/1998, FJ 1]. Efectivamente, hemos de recordar aquí una vez más que la impugnación de las normas debe ir acompañada de la preceptiva fundamentación y precisión que permitan al Abogado del Estado, al que asiste, como parte recurrida, el derecho de defensa, así como a este Tribunal, que ha de pronunciar la Sentencia, conocer las razones por las que los recurrentes entienden que las disposiciones impugnadas transgreden el orden constitucional (SSTC 118/1996, FJ 2; y 118/1998,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quedan excluidos del objeto del presente proceso el art. 50.1, párrafo primero, apartado b), y el art. 54 bis, apartados 1 y 3, respecto de los que la representación procesal del Consejo de Gobierno de La Rioja no ha levantado la carga argumental que le incumbe.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50.1 a) prohíbe el cambio de uso forestal de los terrenos incendiados durante un período mínimo de treinta años, si bien el párrafo segundo del precepto abre la posibilidad de que las Comunidades Autónomas acuerden excepciones con carácter singular. Para ello, exige que el cambio de uso estuviera previsto, con anterioridad al incendio forestal, en: “1. Un instrumento de planeamiento previamente aprobado. 2. Un instrumento de planeamiento pendiente de aprobación, si ya hubiera sido objeto de evaluación ambiental favorable o, de no ser esta exigible, si ya hubiera sido sometido al trámite de información pública. 3. Una directriz de política agroforestal que contemple el uso agrario o ganadero extensivo de montes no arbolados con especies autóctonas incultos o en estado de abandono.”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el preámbulo de la Ley 10/2006 los motivos que llevan al legislador a optar por esta prohibición en los siguientes términos: “Bien es sabido que el cambio de uso de los terrenos forestales incendiados para transformarlos en otros de carácter agrícola, pascícola, industrial o urbanizable se ha tratado de justificar en la pérdida de valor de dichos terrenos, al carecer de vegetación arbórea como consecuencia del desastre ecológico ocasionado por el incendio. En muchas ocasiones, el cambio de uso no se promovía de forma inmediata tras el siniestro, sino sólo tras repetidos incendios de ese terreno forestal, que quedaba, de esta manera, en una situación de casi total degradación vegetal que dificultaba la posibilidad de rechazar justificada y motivadamente las peticiones de cambio de uso forestal. Y ello en la medida en que estos terrenos, en un corto plazo, ya no podrían alcanzar el potencial forestal arbolado que poseían antes del incendio. Los incendios forestales tienen como causa, en una pequeña parte de casos, los fenómenos naturales y, desgraciadamente, en una inmensa mayoría de supuestos, acciones humanas, ya sean negligentes o dolosas.”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atajar este fenómeno, continúa señalando el preámbulo que, en línea con la decisión adoptada por otros países mediterráneos y algunas Comunidades Autónomas, se prohíbe el cambio de uso durante treinta años, plazo que se justifica por ser “el lapso de tiempo mínimo que en la mayoría de los casos puede permitir la regeneración de la vegetación forestal y, por extensión, evitar expectativas de recalificación futura de suelos no urbanizables, en particular la de los terrenos forestales, contrarias a los propósitos de regeneración del monte que demandan los principios de la gestión forestal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pues clara la finalidad disuasoria de la medida adoptada, que tiene como objetivo la prevención de los incendios forestales y, en última instancia, la protección de la masa forestal. Teniendo en cuenta la estrecha conexión existente entre los dos títulos competenciales recogidos en el art. 149.1.23 CE, como ya hemos razonado en el precedente fundamento jurídico 2, en razón de dicha finalidad tuitiva, el precepto encaja sin dificultad en el ámbito de la competencia estatal para establecer la legislación básica en materia de montes y aprovechamientos forestales, resultando extensible la doctrina recogida en la STC 101/2005, de 20 de abril, FJ 5 c), a cuyo tenor el Estado, en ejercicio de la competencia exclusiva que le atribuye el art. 149.1.23 CE, puede condicionar las competencias sectoriales de las Comunidades Autónomas, cuando dicha afectación se traduzca en la imposición de límites a las actividades sectoriales, en razón a la apreciable repercusión negativa que el ejercicio ordinario de la actividad sectorial de que se trate pueda tener para la preservación de los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invade con ello la competencia autonómica en materia de urbanismo y ordenación del territorio, como alega la Comunidad recurrente. Como dijimos en la STC 61/1997, de 20 de marzo, el precepto no tiene como finalidad “establecer directamente determinaciones de carácter material ni positivo en esa clase de suelo, es decir, … la delimitación de los diversos usos a que pueda destinarse el suelo o espacio físico territorial, ni ejercer la competencia de ordenación del territorio (art. 148.1.3 CE), si bien es cierto que inciden en su configuración, señaladamente por vía negativa o de prohibición … Es claro que delimitar los diversos usos a que puede destinarse el suelo o espacio físico constituye uno de los aspectos básicos del urbanismo y, en términos más generales, de la ordenación del territorio, pero ello no puede significar, en el plano competencial, que cualquier norma que incida sobre el territorio, siquiera sea de forma mediata o negativa, tenga que quedar subsumida en la competencia autonómica sobre ordenación del territorio, puesto que ello supondría atribuirle un alcance tan amplio que desconocería el contenido específico de otros muchos títulos competenciales, no sólo del Estado, máxime si tenemos en cuenta que la mayor parte de las políticas sectoriales tienen una incidencia o dimensión espacial.”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que se examina no pretende, en efecto, regular los usos ni fijar las prohibiciones del conjunto de los terrenos forestales, sino que se circunscribe a un régimen específico de protección, aplicable únicamente a los terrenos incendiados, con la finalidad de garantizar a largo plazo su regeneración y, en definitiva, su conservación. En la misma STC 61/1997 dejamos sentado que, en virtud del art. 149.1.23 CE, “los efectos prohibitivos y su prevalencia sobre los usos constructivos del suelo se acomodan sin esfuerzo alguno al concepto de lo básico, calificación que por otra parte no supone atribuirle al Estado competencia específica en materia de urbanismo”, añadiendo que, desde la perspectiva del art. 149.1.1 CE, “guarda también relación con las condiciones básicas de ejercicio de la propiedad del suelo en la medida en que fija un límite general consistente en prohibir todo ejercicio del derecho contrario a lo que el área pretende precisamente preservar” [FJ 16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añadir que el precepto tampoco desemboca en un vaciamiento de la competencia autonómica para la protección del patrimonio forestal, pues —como admite el propio escrito de demanda— el plazo de treinta años opera como un mínimo y la prohibición no es taxativa o absoluta, al dejar un margen de decisión a las Comunidades Autónomas para acordar el régimen de excepciones “cuando existan circunstancias objetivas que acrediten que el cambio de uso del terreno forestal afectado estaba previsto con anterioridad al incendio”, en términos del preámbulo de la Ley 10/2006.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del art. 50.1.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54 bis.2 dispone que la circulación con vehículos a motor por pistas forestales situadas fuera de la red de carreteras quedará limitada a las servidumbres de paso que hubiera lugar, la gestión agroforestal y las labores de vigilancia y extinción de las Administraciones públicas competentes. Añade el precepto que, excepcionalmente, podrá autorizarse por la Administración forestal el tránsito abierto motorizado cuando se compruebe la adecuación del vial, la correcta señalización del acceso, la aceptación por los titulares, la asunción del mantenimiento y de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refieren las partes, esta limitación fue ya recogida con una formulación parcialmente diferente en el Real Decreto-ley 11/2005, de 22 de julio, por el que se aprueban medidas urgentes en materia de incendios forestales, con vigencia temporal limitada a una situación caracterizada por un riesgo de incendios que se calificó de extraordinariamente alto. Ahora bien, la vigencia temporal o indefinida de la medida no resulta relevante a la hora de determinar su carácter básico, pues esta dimensión temporal de la norma forma parte del margen de apreciación del legislador estatal, en función de consideraciones técnicas o de oportunidad que no corresponde juzgar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no cabe acoger la denunciada invasión de las competencias autonómicas en las materias de turismo, cultura o deporte, que habrán de ejercerse dentro del ámbito delimitado por el legislador básico estatal, que en ejercicio de su competencia puede imponer límites al despliegue de aquéllas, como por otra parte se reconoce en el propio escrito de demanda. Según determinamos en la STC 101/2005, antes citada, “la afectación transversal del título competencial del Estado, que se ciñe al ámbito de lo básico (art. 149.1.23 CE), será conforme con el orden constitucional de competencias, en su condicionamiento de las competencias sectoriales de las Comunidades Autónomas, cuando dicha afectación se traduzca en la imposición de límites a las actividades sectoriales en razón a la apreciable repercusión negativa que el ejercicio ordinario de la actividad sectorial de que se trate pueda tener … Por el contrario la afectación transversal de las competencias sectoriales de las Comunidades Autónomas resultará vulneradora del orden competencial cuando la normativa estatal comporte, más que el establecimiento de limitaciones específicas o puntuales de las actividades sectoriales, una regulación de mayor alcance, incluso aunque dicha regulación presente una finalidad de protección ambiental.” [FJ 5 c)]. Resulta claro que, a diferencia del supuesto examinado en dicha Sentencia, en esta ocasión no estamos ante “regulaciones positivas de las actividades correspondientes a las materias de la promoción del turismo y de la cultura, el desarrollo comunitario y el ocio” [FJ 9 b)], de competencia autonómica, sino de meros límites impuestos a su ejercicio, que responden a la finalidad de garantizar la conservación y protección de los montes, frente al riesgo de incendios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limitaciones a la circulación motorizada que recoge el precepto revisten carácter básico en el ámbito de la competencia estatal ex art. 149.1.23 CE, sin que, de otra parte, la lectura del precepto deje dudas sobre el margen de decisión que se abre a las Comunidades Autónomas para autorizar el tránsito abierto motorizado en determinadas circunstancias, modulando así la limitación establecida con carácter básico de modo adecuado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debemos concluir que el art. 54 bis.2 no invade las competencias de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el reproche de inconstitucionalidad material que se dirige al art. 54 bis.2, por infracción de lo dispuesto en los arts. 19, 45 y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 alegada vulneración de los arts. 19 y 139.2 CE, procede en primer lugar constatar que la limitación a la libre circulación que supone lo establecido en el precepto impugnado cumple con la reserva de ley que deriva del art. 53.1 CE, afirmada expresamente por este Tribunal respecto de un amplio elenco de derechos fundamentales y libertades públicas [entre otras, SSTC 169/2001, de 16 de julio, FJ 6; y 184/2003, de 23 de octubre,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su contenido material, en la STC 146/2006, de 8 de mayo, afirmamos que, como en los demás supuestos de limitación de derechos fundamentales, “constituye doctrina de este Tribunal la de que una medida de ese tipo debe sujetarse a parámetros de proporcionalidad en relación con la preservación de otros derechos o bienes constitucionales. Ha de tratarse así de una medida útil y necesaria para la protección de un bien constitucionalmente importante.”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139.2 CE, es doctrina consolidada de este Tribunal que “no toda medida que incida en la libre circulación de bienes —y personas— por el territorio nacional es necesariamente contraria al art. 139.2 CE, sino que únicamente lo será cuando persiga de forma intencionada la finalidad de obstaculizar la libre circulación o genere consecuencias objetivas que impliquen el surgimiento de obstáculos que no guarden relación y sean desproporcionados respecto del fin constitucionalmente lícito que pretenda la medida adoptada (STC 37/1981, fundamento jurídico 2)” (STC 66/1991, de 22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el precepto impugnado supera sin dificultades el juicio de proporcionalidad sobre la relación existente entre la medida adoptada, el resultado producido y la finalidad pretendida, según exige nuestra doctrina. Su objeto no es entorpecer de forma constitucionalmente ilegítima la libertad de circulación de las personas, sino limitar el uso de vehículos a motor en itinerarios que no están acondicionados para este tipo de tránsito, con la finalidad de proteger el patrimonio forestal. Por otra parte, tal limitación no está formulada en términos absolutos, sino que admite excepciones en función de diversas circunstancias, entre otras, la adecuación del vial, en cuya ponderación por la Administración autonómica cabe perfectamente incluir aspectos como el tipo de vehículo, la ubicación y características del monte, la estacionalidad, u otros factores que influyan en el riesgo de incendio forestal, lo que permite ajustar la aplicación en cada caso de la medida, bajo criterios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 establecido en el art. 54 bis.2 no puede considerarse desproporcionado en un país que, como hemos recordado en la reciente STC 49/2013, de 28 de febrero, es “uno de los de la Unión Europea con más masa forestal y que más incendios sufre anualmente” (FJ 12). La medida resulta ser así proporcionada a la finalidad perseguida, “en atención al bien jurídicamente protegido, dada la relevancia que la Constitución atribuye al medio ambiente al configurar en su art. 45 ‘un derecho de todos a disfrutarlo y un deber de conservación que pesa sobre todos, más un mandato de los poderes públicos para la protección’ (STC 102/1995, de 26 de junio, FJ 4)” (STC 73/2000, de 14 de marzo,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en el art. 54 bis.2 infracción del art. 45.1 CE, que enuncia un principio rector, no un derecho fundamental (STC 199/1996, de 3 de diciembre, FJ 3), si se repara en que este precepto constitucional, junto al derecho a disfrutar de un medio ambiente adecuado para el desarrollo de la persona, proclama el deber de todos de conservarlo. Su apartado 2, además, impone a los poderes públicos la obligación positiva de velar por la utilización racional de todos los recursos naturales, correspondiendo al legislador la elección de las técnicas apropiadas para llevar a cabo la plasmación de ese principio rector en el que la protección del medio ambiente consiste (SSTC 247/2007, de 12 de diciembre, FJ 20; y 149/2011, de 28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limitaciones a la circulación con vehículos a motor por pistas forestales situadas fuera de la red de carreteras responden, como venimos razonando, a la finalidad de conservar los montes preservándolos de usos que, en determinadas circunstancias —que habrán de ser apreciadas en cada caso—, pueden implicar un riesgo de incendio forestal, y encajan por tanto sin dificultad en el marco del derecho-deber así configurado en la Constitución. Porque difícilmente podría concebirse el efectivo ejercicio del derecho a disfrutar del medio ambiente —en este caso, de los montes cuya función social proclama el art. 4 de la Ley 43/2003— si los poderes públicos no adoptaran las medidas necesarias para preservarlos de la devastación que conllevan los incendios forestales, incluyendo la pérdida de vidas humanas, como recuerda la exposición de motivos de la Ley 10/2006.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del art. 54 bis.2.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