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24 de octubre de 2011 tuvo entrada en el Registro General de este Tribunal escrito de la Sala de lo Contencioso-Administrativo del Tribunal Superior de Justicia de Cantabria, al que se acompañan las actuaciones recaídas en el procedimiento ordinario núm. 1200-1998 y acumulado 1914-1998, así como del Auto del mismo órgano judicial, de 20 de septiembre de 2011, por el que se plantea cuestión de inconstitucionalidad en relación con la disposición adicional sexta de la Ley del Parlamento de Cantabria 2/2001, de 25 de junio, de ordenación territorial y del régimen urbanístico del suelo de Cantabria, introducida por el art. 2 de la Ley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22 de marzo de 2000 del mismo órgano promotor de la presente cuestión, recaída en el procedimiento ordinario 1200-1998 y acumulado 1914-1998, se estimó el recurso interpuesto por la Asociación para la defensa de los recursos naturales de Cantabria (ARCA) contra el estudio de detalle aprobado por el Ayuntamiento de Argoños el 17 de julio de 1997, por inexistencia de estudio de detalle y por ser contrario a los valores paisajísticos y medioambientales que se tratan de proteger; Sentencia que fue declarada firme por la del Tribunal Supremo de 11 de abril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y tras distintas actuaciones procesales, el Ayuntamiento de Argoños solicitó la suspensión del procedimiento de ejecución al amparo de lo dispuesto en la disposición adicional sexta de la Ley 2/2001, de 25 de junio, introducida por el art. 2 de la Ley 2/2011, de 4 de abril, que prescribe la tramitación de los oportunos expedientes de responsabilidad patrimonial de la Administración, con determinación y abono de las correspondientes indemnizaciones, antes de proceder a una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12 de julio de 2011, la Sala de lo Contencioso-Administrativo del Tribunal Superior de Justicia de Cantabria, de oficio, acordó oír a las partes personadas y al Ministerio Fiscal por el término común de diez días sobre la pertinencia de plantear cuestión de inconstitucionalidad, respecto a la disposición adicional sexta de la Ley 2/2001, de 25 de junio, introducida por el art. 2 de la Ley 2/2011, de 4 de abril, por si la norma pudiera alterar la legislación básica del Estado y competencias exclusivas derivadas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de alegaciones, el órgano judicial dictó Auto de 20 de septiembre de 2011, planteando la cuestión de inconstitucionalidad en relación con la disposición adicional sexta de la Ley del Parlamento de Cantabria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inicia el Auto sus razonamientos jurídicos señalando que se solicita la suspensión de la ejecución de la Sentencia en tanto en cuanto se tramita el procedimiento de indemnización previsto en la disposición adicional sexta de la Ley 2/2001, de 25 de junio, introducida por el art. 2 de la Ley 2/2011, de 4 de abril,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las afirmaciones del preámbulo de la Ley 2/2011 en el sentido de que la misma es resultado de la resolución del Parlamento de Cantabria de 22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reclamaciones patrimoniales que se han planteado en incidentes de ejecución, criterio que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de 26 de noviembre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propia Constitución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que esta previsión pretende incluir a los derribos consecuencia de resoluciones judiciales se deriva de lo dispuesto en el punto cinco de la referida disposición en cuanto dispone que “La Administración que tramite un expediente de responsabilidad patrimonial …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de la cuestión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noviembre de 2011, el Pleno del Tribunal acordó admitir a trámite la cuestión, así como, de conformidad con lo dispuesto en el art. 10.1 c) de la Ley Orgánica del Tribunal Constitucional (LOTC), en la redacción dada por la Ley Orgánica 6/2007, de 24 de mayo, deferir a la Sala Primera de este Tribunal el conocimiento de la presente cuestión. 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diciembre de 2011 tuvo entrada en el Registro General del Tribunal escrito del Presidente del Senado poniendo en conocimiento que, en ejercicio de la delegación conferida por la Mesa de la Diputación Permanente en reunión de 28 de septiembre de 2011,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en este Tribunal el 14 de diciembre de 2011, comunicó que la Mesa de la Diputación Permanente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16 de diciembre de 2011, interesando la inadmisión de la cuestión de inconstitucionalidad respecto de los apartados 1, 2, y 3 y los párrafos tercero, cuarto y sexto del apartado 4 de la disposición adicional sexta de la Ley 2/2001,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estatales. Pero este no es el caso de la norma cuestionada, puesto que el hecho generador de la responsabilidad está recogido en la legislación estatal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y el legislador autonómico se separa de uno de los elementos esenciales de la responsabilidad establecido en la misma, cual es el requisito de que el daño sea efectivo.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23 de diciembre de 2011, el Letrado de los servicios jurídicos del Gobierno de Cantabria, formuló alegaciones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vulnere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26 de diciembre de 2011,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en la ordenación de las consecuencias indemnizatorias previstas en al art. 122.2 CE. Finalmente, también encontraría cobertura constitucional la norma impugnada en la potestad de establecer los procedimientos administrativos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peculiaridades de la organización y a las necesidades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y evaluable económicamente.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20 de enero de 2012. Tras detallar el curso del proceso del que esta cuestión de inconstitucionalidad dimana, recoge sucintamente los motivos en los que el órgano judicial funda la inconstitucionalidad de la norma legal,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sólo el párrafo 5 del apartado 4 de la disposición adicional sexta pueda entenderse relevante para la decisión judicial a adoptar, sin que, por el contrario, lo sea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ha de coexistir con las competencias que el Estado ostenta en virtud del art. 149.1 CE. Tampoco las competencias sobre funcionamiento de sus instituciones de autogobierno y sobre el procedimiento administrativo derivado de las especialidades de la organización propia a que se refieren los núms. 1 y 32 del art. 24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a que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5728-2011,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