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134</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3 de junio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27 de diciembre de 2010, doña María de la Concepción Moreno de Barreda Rovira, Procuradora de los Tribunales y de Pinturas Eurotex, S.A., y Palacete de los Lasso, S.L.U., interpuso recurso de amparo frente al Auto del Juzgado de Primera Instancia e Instrucción núm. 5 de Cáceres de 26 de julio de 2010 y frente al Auto de 9 de noviembre de 2010 de la Audiencia Provincial de Cáceres que desestimó el recurso de apelación interpuesto frente aquél. El Tribunal Constitucional otorgó el amparo solicitado en STC 106/2013, de 6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16 de mayo de 2013, doña María de la Concepción Moreno de Barreda Rovira, Procuradora de los Tribunales y de Pinturas Eurotex, S.A., y Palacete de los Lasso, S.L.U., presentó escrito solicitando la corrección y complemento de la citada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solicitaba la corrección del error material contenido en la parte dispositiva de la Sentencia que declara la nulidad del Auto de 9 de noviembre de 2012 de la Sección Primera de la Audiencia Provincial de Cáceres, cuando el citado Auto fue dictado en el año 2010. Este defecto tipográfico también se advierte en el encabezamiento de la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solicita el complemento de la Sentencia puesto que, pese a estimar íntegramente lo interesado, obvia plasmar en su parte dispositiva un pedimento deducido de forma expresa en el pedimento (iii) del suplico de la demanda, la parte interesó que se declarara “la nulidad del Auto núm. 166/2010, de 9 de noviembre de 2010, dictado por la Sección Primera de la Audiencia Provincial de Cáceres por el que se resuelve el recurso de apelación con núm. de rollo 581-2010”, “así como la de todas las actuaciones y resoluciones posteriores”. Sin embargo, pese a “otorgar el amparo solicitado”, la Sentencia no acuerda la nulidad de todas esas actuaciones y resoluciones posteriores que han traído causa de los dos Autos declarados nulos. Por ello, considera que procede el complemento de la Sentencia dada la omisión denunciada.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93.1 de la Ley Orgánica del Tribunal Constitucional establece que en el plazo de dos días, a contar desde la notificación, las partes podrán solicitar la aclaración de la Sentencia. Esta actuación judicial, de acuerdo con el art. 267.1 de la Ley Orgánica del Poder Judicial, deberá limitarse a “aclarar algún concepto oscuro y suplir cualquier omisión que contengan” sobre puntos discutidos en el litigio, siendo posible también rectificar los errores materiales manifiestos y los aritméticos allí contenidos, pero no podrá suponer, sin embargo, variación o modificación de la Sentencia (entre otros, AATC 363/2007, de 11 de septiembre; 439/2006, de 11 de diciembre; 70/2008, de 26 de febrero; y 32/2010, de 2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solicita la rectificación de un error material contenido, tanto en el fallo, como en el encabezamiento de la Sentencia, en relación a la fecha del Auto dictado por la Audiencia Provincial de Cáceres el 9 de noviembre de 2010. Constando el error material advertido, procede la rectificación solicitada. Por ello, donde dice “Auto de 9 de noviembre de 2012” debe decir “Auto de 9 de noviembre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complemento de Sentencia solicitado debe recordarse que la parte dispositiva de la Sentencia de 6 de mayo de 2013, corregido el error material antes señalado, dispuso: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“Otorgar el amparo solicitado por Pinturas Eurotex, S.A., y Palacete de los Lasso S.L.U., y, en consecuencia: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1º Reconocer su derecho fundamental a la tutela judicial efectiva, art. 24.1 CE, en su vertiente de acceso a la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2º Restablecerlas en su derecho y, a tal fin, declarar la nulidad del Auto de 26 de julio de 2010 del Juzgado de Primera Instancia e Instrucción núm. 5 de Cáceres, dictado en el procedimiento ordinario núm. 940-2009, y del Auto de 9 de noviembre de 2010 de la Sección Primera de la Audiencia Provincial de Cáceres, dictado en el recurso de apelación núm. 581-2010, retrotrayendo las actuaciones al momento anterior al del pronunciamiento del Auto dictado en instancia, para que se dicte nueva resolución judicial que resulte respetuosa con el derecho fundamental reconocido.”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petición debe ser rechazada. El complemento de Sentencia que solicita —inclusión expresa en el fallo de la Sentencia de la declaración de nulidad de todas las resoluciones judiciales posteriores a los Autos anulados— no procede, puesto que la declaración de nulidad de las resoluciones judiciales señaladas, con expresa orden de retroacción de actuaciones al momento previo al que fueron dictadas, supone la nulidad de las resoluciones judiciales posteriores que trajeran causa de las anuladas.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Rectificar el error material en cuanto a la fecha del Auto de 9 de noviembre de 2010 dictado por la Audiencia Provincial de Cáceres.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En el encabezamiento de la Sentencia, así como en su parte dispositiva, donde dice “Auto de 9 de noviembre de 2012” debe decir “Auto de 9 de noviembre de 2010”.</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Rechazar la petición de complemento de Sentencia solicitado.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