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26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Luciano Rosch Nadal en nombre de la Agencia de Medio Ambiente y Agua de Andalucía, se presentó recurso de amparo el día 1 de abril de 2013 que se registró con el número 1995-2013.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 de julio de 2013, por el mismo Procurador Sr. Rosch Nadal, se presentó escrito desistiendo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acordó, por diligencia de ordenación de fecha 3 de julio siguiente, dar traslado al Ministerio Fiscal para alegaciones sobre el desistimiento pretendido, lo que hizo por escrito de 23 de julio último,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desistimiento es una forma de terminación del procedimiento prevista en los arts. 80 y 86 de nuestra Ley Orgánica (LOTC), que se remite en el primero de dichos preceptos, en cuanto a requisitos y procedimiento, a lo establecido en la Ley Orgánica del Poder Judicial y en la Ley de enjuiciamiento civil. Cumplidos estos requisitos en el presente caso, y no oponiendo objeción alguna el Ministerio Fiscal a la voluntad de desistir manifestada por el recurrente, dado el carácter rogado que, en principio, tiene la jurisdicción de amparo constitucional [arts. 161.1 b) CE y 41.3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y apartado de la prosecución del presente recurso a la Agencia de Medio Ambiente y Agua de Andalucía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