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27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1 de marzo de 2012 dictado por la Sección Primera de la Sala de lo Contencioso-Administrativo del Tribunal Supremo en el recurso de casación núm. 4824-2011 interpuesto contra Sentencia de 29 de junio de 2011 dictada por la Sección Sexta de la Sala de lo Contencioso-Administrativo de la Audiencia Nacional en recurso 578-2010.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27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1 de marzo de 2012, resolución impugnada en el presente recurso de amparo núm. 4503-2012.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1 de marzo de 2012 en el recurso de casación núm. 4824-2011, que ha sido impugnado en el presente recurso de amparo núm. 4503-2012.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4503-2012,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