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252</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4 de noviembre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marzo de 2013 don Ireneo Gorines Viña solicitó se le designara Abogado y Procurador para interponer recurso de amparo contra el Auto de 22 de enero de 2013 del Juzgado Contencioso-Administrativo núm. 2 de Valladolid. Dicho Auto acordaba inadmitir su impugnación contra la resolución de la comisión de asistencia jurídica gratuita de 19 de diciembre de 2012, adoptada en el expediente 7041-2011, por medio de la cual se desestimaba su solicitud de esta asistencia ante la insostenibilidad de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providencia de 9 de mayo de 2013, acordó archivar las presentes actuaciones sin más trámites, argumentando que la impugnación prevista en el artículo 20 de la Ley 1/1996, de 10 de enero, de asistencia jurídica gratuita, no resulta utilizable en casos como el presente, es decir “cuando se considera insostenible la pretensión tras haberse tramitado el procedimiento regulado en los artículos 32 y 33 de la Ley 1/1996, en los que la pérdida del derecho ni es originaria ni depende de la propia voluntad de la Comisión, sino que se erige en puro efecto ope legis, de producción automática e irreversible cuando los dictámenes del Colegio de Abogados y del Ministerio Fiscal coinciden con el expresado por el Abogado inicialmente designado de oficio al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Don Ireneo Gorines Viña, mediante escrito registrado el 6 de junio de 2013, instó la nulidad de la anterior providencia al amparo del artículo 240.2 de la Ley Orgánica del Poder Judicial (LOPJ). A tal fin, alegaba que dicha resolución era extemporánea por haberse adoptado con anterioridad a la formalización de la demanda de amparo y que carecía de la necesaria fundamentación jurídica, habiendo infringido, en consecuencia, el derecho a la tutela judicial efectiva (art. 24.1 CE). En particular, “la providencia, al negar el derecho a la impugnación prevista en el art. 20 Ley 1/1996 en el caso del procedimiento de insostenibilidad regulado en los arts. 32 y 33 de la Ley 1/1996, infringe el derecho a la tutela judicial efectiva (art. 24 CE) en relación con el derecho a la igualdad y a no sufrir discriminación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Sección Segunda, por diligencia de ordenación de 12 de junio de 2013, tramitó dicho escrito como recurso de súplica, dando traslado al Ministerio Fiscal para que en el plazo de tres días informara lo que estimara pertinente. Este, por escrito registrado el 28 de junio de 2013, entiende que el recurso debe ser desestimado, razonando que la providencia no ha sido adoptada prematuramente, sino que “se ha limitado a archivar las actuaciones tras una aplicación razonada y razonable de lo previsto en la Ley 1/1996”.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la doctrina de este Tribunal, “la denegación del beneficio de asistencia jurídica gratuita por insostenibilidad de la pretensión, conforme al procedimiento establecido en la Ley 1/1996, de 10 de enero, de asistencia jurídica gratuita, no supone per se infracción alguna del derecho a la tutela judicial efectiva del justiciable, … pues, como hemos señalado en la STC 12/1998, de 15 de enero, FJ 4 a), la denegación de dicho beneficio ‘tiende, ante todo, a asegurar que el esfuerzo social colectivo y solidario que requiere el disfrute de tal beneficio por parte de los ciudadanos más desfavorecidos económicamente no vaya a parar a la defensa de pretensiones que, por absurdas o descabelladas, no resulten merecedoras de ser sufragadas con dinero público; persiguiendo, además, la finalidad de evitar el ejercicio abusivo o temerario del derecho de acceso a la jurisdicción en defensa de pretensiones manifiestamente abocadas al fracaso, designio éste que, como ya declaramos en la STC 206/1987, se encuentra entre los que legítimamente puede perseguir el legislador a la hora de limitar el libre ejercicio del derecho de acceso a los órganos jurisdiccionales’. Por otra parte, como también señalamos en la STC 12/1998, FJ 4 b), ‘el hecho de que no sea un órgano judicial el que, en último término, se pronuncie sobre la sostenibilidad o no de la pretensión a los efectos de la pérdida del beneficio de asistencia jurídica gratuita, tampoco puede ser tenido por contrario al art. 24.1 CE, por cuanto el simple examen acerca de si el ejercicio de una pretensión procesal es o no jurídicamente viable no puede, en modo alguno, equipararse al enjuiciamiento sobre el fondo de aquella’; a lo que se añade que ‘la obtención de una decisión sobre la sostenibilidad de la pretensión por parte de un órgano totalmente ajeno a los intereses particulares del beneficiario de la asistencia jurídica gratuita... también se encuentra perfectamente asegurada con el sistema que residencia dicha decisión en los Colegios de Abogados y en el Ministerio Fiscal, órganos que se hallan en una posición de imparcialidad y objetividad, dado que carecen de interés propio alguno sobre la pretensión del beneficiario de la asistencia jurídica gratuita cuya sostenibilidad o no han de dictaminar, y, además, son órganos que cuentan con la adecuada cualificación técnica ... lo que les capacita específicamente para llevar a cabo la función de dictaminar si una determinada pretensión merece o no ser enjuiciada, por esta vía de la gratuidad, por los Juzgados y Tribunales del Poder Judicial’.” (STC 7/2008, de 21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doctrina constitucional expuesta nos lleva, de acuerdo con lo informado por el Ministerio Fiscal, a considerar que la decisión de archivo de las actuaciones acordada por providencia de 9 de mayo de 2013 no ha sido prematura, al dictarse con antelación a que se hubieran nombrado profesionales del turno de oficio para la formulación del recurso de amparo pretendido, sino que ha sido adoptada tras ponderar este Tribunal Constitucional que la pretensión de don Ireneo Gorines Viña era inviable, al pretender iniciar un proceso constitucional contra una resolución no susceptible de impugnación, que le deniega el beneficio de asistencia jurídica gratuita por insostenibilidad de la pretensión, al estar así regulado por la Ley de asistencia jurídica gratuita y haber sido acordada por los órganos competentes.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providencia, además, ha sido convenientemente motivada, conociendo el recurrente las razones por las que se procedía al archivo de las presentes actuaciones, coherentes estas con el contenido de la doctrina constitucional antes transcrita.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interpuesto por don Ireneo Gorines Viña y, en consecuencia, confirmar la providencia de 9 de mayo de 2013.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noviembre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