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7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y providencia dictados por la Sección Primera de la Sala de lo Contencioso-Administrativo del Tribunal Supremo en el recurso de casación núm. 2933-2010 interpuesto contra la Sentencia de 15 de abril de 2010 dictada por la Sección Segunda de la Sala de lo Contencioso-Administrativo de la Audiencia Nacional en el procedimiento ordinario 439-2007.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30 de octubre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10 de noviembre de 2011, resolución impugnada en el presente recurso de amparo núm. 5157-2012.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10 de noviembre de 2011 en el recurso de casación núm. 2933-2010, que ha sido impugnado en el presente recurso de amparo núm. 5157-2012.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5157-2012,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