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14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julio de 2013 tuvo entrada en el Registro General de este Tribunal un escrito del Secretario Judicial del Juzgado de lo Social núm. 34 de Madrid al que se acompaña, junto con el testimonio del procedimiento núm. 453-2012, sobre despido, que se tramita ante dicho Juzgado, el Auto de 11 de abril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16 de abril de 2012, doña María Izquierdo Rodríguez presentó demanda de reclamación de cantidad y de despido frente al grupo de empresas integrado por Terravision España, S.L.U., Consorzio Italia Servizi Turistici Scarl, Terravision London LTD Sucursal en España, Terravision London Limited (con nuevo nombre Baerlein Limited), y Terravision Real Estate Limited, en la que, junto a la cuantía reclamada, solicitaba al Juzgado de lo Social que la extinción por causas objetivas que le había sido notificada el 27 de enero de 2012, con efectos de 26 de febrero de 2012, fuera declarada como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18 de abril de 2012 en el Juzgado de lo Social núm. 34 de Madrid, que por decreto de 3 de mayo de 2012 acordó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9 de enero de 2013, concluso el procedimiento y dentro del plazo para dictar Sentencia, el Magistrado-Juez dictó providencia el 1 de febrero de 2013,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y tras razonar sobre la competencia en el caso de los Juzgados y Tribunales del orden social españoles y la aplicación del derecho laboral español, el Magistrado-Juez comenzaba explicando que, en el caso enjuiciado, la extinción debía ser calificada judicialmente como improcedente, aduciendo las razones que a su juicio conducen a esta calificación, y asimismo, también indicaba que, de acuerdo con la fecha de efectos de la extinción —26 de febrero de 2012—, las consecuencias de dicha calificación de improcedencia son las previstas en la Ley del estatuto de los trabajadores (en adelante, LET), en la redacción dada por el Real Decreto-ley 3/2012. Tras estas precisiones, la providencia concretaba las normas cuya constitucionalidad se cuestiona y los preceptos que se suponen infringidos: en primer lugar, exponía que el Real Decreto-ley 3/2012, globalmente considerado, resulta lesivo de los arts. 1.3 y 86.1 CE; en segundo término, indicaba que la disposición transitoria quinta del Real Decreto-ley 3/2012 vulnera los arts. 9.3 y 24.1 CE; y finalmente, hacía asimismo alusión a la contravención por parte del art. 18.8 del Real Decreto-ley 3/2012 de los arts. 9.3 y 24.1 CE, en relación con el art. 35.1 CE. La providencia fundamentaba estas dudas de constitucionalidad en términos similares a la argumentación ofrecida en el posterior Auto de planteamiento de la cuestión, de 11 de abril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parte de la trabajadora demandante se presentó escrito registrado el 25 de febrero de 2013, en el que mostraba su apoyo a las razones de inconstitucionalidad detalladas en la providencia y a la posibilidad de acudir al Tribunal Constitucional. Asimismo ponía de relieve que, pese a que la extinción fue comunicada el 27 de enero de 2012 con efectos de 26 de febrero de 2012, la empresa ya no le permitió a partir de dicha comunicación ejercer su prestación laboral, computando ese tiempo como vacaciones disfrutadas, de ahí que aducía que los efectos de la extinción se produjeron desde la indicada comunicación, fecha en que estaba en vigor la normativa previa al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registrado el 21 de marzo de 2013, el Fiscal presentó sus alegaciones, en las que exponía que, a su juicio, concurrían los requisitos formales para proceder a la interposición de la cuestión de inconstitucionalidad de las normas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consta en las actuaciones que la parte demandada presentara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Social núm. 34 de Madrid dictó Auto de 11 de abril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se disponía la suspensión provisional del plazo para dictar Sentencia hasta que el Tribunal Constitucional se pronunciara sobre la admisión de la cuestión y, asimismo, se ordenaba se citara a las partes a comparecencia a fin de adoptar medidas no nucleares. Dicha comparecencia tuvo lugar el 11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28 de junio de 2013, el Juzgado de lo Social núm. 34 de Madrid dictó nuevo Auto de “medidas provisionales no nucleares”, en el que, tras fijar los hechos probados del litigio —incluida la antigüedad de la trabajadora en la empresa desde 6 de noviembre de 2010—, declara y fundamenta su competencia y la de la jurisdicción española sobre el caso, estima la reclamación de cantidad respecto a determinados conceptos, y asimismo razona que la extinción debe ser calificada judicialmente como improcedente. En este mismo Auto,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las codemandadas Terravisión España, S.L.U., Terravisión London LTD sucursal en España, consorzio Italia Servizi Turistici Scarl, Barlein Limited y Terravisión Real Estate Limited a que opten entre readmitir con mantenimiento de la relación laboral y abono de los salarios dejados de percibir desde el día siguiente al despido y hasta la fecha en que la reincorporación tenga lugar efectivamente o resolver el contrato indemnizando a la trabajadora despedida doña María Izquierdo Rodríguez en la suma de siete mil cien euros con setenta y nueve centimos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 la trabajadora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la opción deberán abonarle igualmente, con carácter solidario, la indemnización compensadora de la falta de preaviso de mil seiscientos noventa y siete euros con cuarenta y seis centimos de euro (quince días de salario) y el importe de la reclamación de cantidad de mil cuatrocientos cuarenta y siete euros con sesenta y cinco centimos de euro.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11 de abril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se centra en el análisis de los juicios de aplicabilidad y relevancia. Al respecto razona sobre la competencia en el caso de la jurisdicción social española y la aplicación del Derecho laboral español, así como sobre los motivos por los que considera que la extinción enjuiciada debe ser calificada como despido improcedente, señalando que, atendida la fecha de efectos de la extinción —que fija en el 26 de febrero de 2012—, las consecuencias de dicha calificación deben ser las previstas en la Ley del estatuto de los trabajadores, en la redacción dada por el Real Decreto-ley 3/2012, que entró en vigor el 12 de febrero y permaneció vigente hasta su sustitución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y señalar que con ella se reduce de manera significativa la cuantía de las indemnizaciones por despido improcedente, el Magistrado-Juez alega la doctrina establecida en la STC 181/2000 y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CE).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tercera duda de constitucionalidad,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septiembre de 2013,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24 de octubre de 2013, en el que interesa la inadmisión a trámite de la cuestión de inconstitucionalidad planteada, tanto por carecer de objeto al haberse resuelto el fondo de la acción ejercitada,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 argumento, y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dispone en el Auto de planteamiento convocar a las partes a una comparecencia y, tras celebrarse esta, dicta un Auto denominado de medidas provisionales no nucleares, en el que resuelve calificar el despido como improcedente y conceder a la demandada la opción entre la readmisión o la condena al abono de una determinada indemnización.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la cuantía de la indemnización,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de 11 de abril de 2013 y de 28 de junio de 2013 es la voluntad renuente a la adopción de la medida dispuesta en el art. 35.3 LOTC, consistente en la suspensión del procedimiento hasta la definitiva resolución de la cuestión por el Tribunal Constitucional. A su juicio, afirmar que lo resuelto por el Auto de 28 de junio de 2013 son meras cuestiones no nucleares no puede sino calificarse como un ejercicio de voluntarismo estéril que no oculta la realidad de la continuación del procedimiento y la resolución sobre el fondo de la pretensión deducida por el trabajador. Por tal razón expone que la actual cuestión presenta una manifiesta carencia de objeto, que debe llevar 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segunda de las razones de inadmisión apuntadas,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y tras precisar el alcance de la STC 181/2000, el Fiscal General del Estado afirma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Asimismo, a dichos argumentos se remite para descartar la contravención del art. 14 CE en relación con las diferentes consecuencias que, según el órgano promotor, derivan de un incumplimiento obligacional común y de un incumplimiento contractual en el ámbito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Dicho esto, el Fiscal indica que tanto de la exposición de motivos de la norma cuestionada como del ulterior debate parlamentario de convalidación cabe concluir que se ha cumplido por el Gobierno la exigencia de explicitar y razonar de forma suficiente la existencia de una situación de “extraordinaria y urgente necesidad” que justifica la necesidad de dictar el Real Decreto-ley 3/2012, así como que queda acreditada la necesaria conexión entre la situación de urgencia definida y las medidas adoptadas en dicho Real Decreto-ley. Por ello, concluye que, en la nueva redacción dada al art. 56.1 y 2 LET, se cumplen las exigencias derivadas del art. 35.1 CE, y asimismo la última consideración expuesta le lleva también a descartar la contravención del art. 86.1 CE, con apoyo en la doctrina establecida en el ATC 180/2011, FJ 6, y fundamentando su afirmación en algunos fragmentos de la exposición de motivos del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 puesta en cuestión del art. 18.8 por posible lesión de los arts. 9.3 y 24.1 CE, el Fiscal General del Estado recuerda que la STC 84/2008 confirma que el hecho de que se deje la opción de la readmisión o extinción al empresario, y con ello, se puedan o no generar salarios de tramitación, no supone quiebra del derecho a la tutela judicial efectiva del art. 24.1 CE, teniendo la norma un contenido claro y preciso, y estando plenamente determinados los posibles efectos de la decisión judicial sobre la impugnación del despido. A su vez, respecto a la supuesta oposición del art. 18.8 al art. 35.1 CE,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del Real Decreto-ley 3/2012 —y trasladado a su articulado— no es el fomento del empleo y, en consecuencia, el cumplimiento del mandato constitucional que sanciona el derecho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dicho, el Fiscal General del Estado considera que la cuestión de inconstitucionalidad resulta notoriamente infundada en cuanto a la disposición transitoria quinta en relación con el art. 18.7 y respecto del art. 18.8 del Real Decreto-ley 3/2012.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tanto por apreciar que carece de objeto al haberse resuelto el fondo de la acción ejercitada, como por ser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ATC 277/2013, de 3 de diciembre, al que hemos de remitirnos.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No olvidemos que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El resultado de dicho examen es que, por las mismas razones que en el caso examinado en el referido ATC 277/2013, FJ 2, el objeto de la cuestión de inconstitucionalidad planteada, tanto en relación con la utilización del instrumento normativo del real decreto-ley (art. 86.1 CE) como respecto a las específicas dudas de contenido elevadas (arts. 9.3, 24.1 CE, y en su caso, art. 35.1 CE), ha de quedar limitado al apartado 2 de la disposición transitoria quinta del Real Decreto-ley 3/2012, por el que se fija el criterio de cálculo de la indemnización por despido improcedente de los contratos formalizados antes de la entrada en vigor de este Real Decreto-ley, así como al art. 18.8 de dicho Real Decreto-ley 3/2012, por el que se da nueva redacción al art. 56.2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respetadas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ATC 277/2013, FJ 3, cuyas apreciaciones y conclusiones resumimos a continuación, procediendo a su aplicación en el supuesto ahora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hemos admitido que el órgano judicial a quo puede adoptar las medidas cautelares precisas para asegurar las resultas del juicio o incluso los efectos de la futura sentencia de este Tribunal resolviendo la cuestión, sin que tampoco exista obstáculo para que lleve a cabo otros actos de instrucción y de ordenación del proceso, se ha exigido que “no guarden relación con la validez de la ley cuestionada, pues el proceso de fondo sigue pendiente ante él en situación procesal de detención” (ATC 313/1996, de 29 de octubre, FJ 2; ATC 186/2009, de 16 de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tras el Auto de planteamiento de la cuestión, el órgano judicial ha dictado un nuevo Auto en que declara la improcedencia del despido y condena a las codemandadas a que, en el plazo de cinco días, opten entre readmitir a la trabajadora con abono de los salarios dejados de percibir o resolver el contrato con el pago de la indemnización indicada. Con esa decisión, por tanto, el Magistrado-Juez está haciendo directa aplicación de las normas del Real Decreto-ley 3/2012 que son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