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24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2131-2012, promovido por doña N.F.S.R., representada por la Procuradora de los Tribunales doña Celia Fernández Redondo y asistida por la Abogada doña Ana Georgina Guerrero Ron, contra la Sentencia de 23 de noviembre de 2011 y Auto de 22 de febrero de 2012, dictados por la Sección Quinta de la Sala de lo Contencioso-Administrativo de la Audiencia Nacional en recurso de apelación 130-2011, que desestima el recurso de apelación interpuesto contra la Sentencia de 17 de mayo de 2011 dictada por el Juzgado Central de lo Contencioso-Administrativo número 12, en el procedimiento de protección de derechos fundamentales núm. 2-2010, que, a su vez, desestima el recurso contencioso contra la resolución de cese núm. 132-2010, de 31 de agosto, del Secretario de Estado Director del Centro Nacional de Inteligencia. Han comparecido el Abogado del Estado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abril de 2012, la Procuradora de los Tribunales doña Celia Fernández Redondo, en nombre y representación de doña N.F.S.R. y bajo la dirección de la Abogada doña Ana Georgina Guerrero Ron,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núm. 132/2010, de 31 de agosto, del Secretario de Estado, Director del Centro Nacional de Inteligencia (CNI), se dispuso la baja en el citado organismo de doña N.F.S.R., que se había incorporado al mismo el 6 de septiembre de 2004 en calidad de personal estatutario temporal. Contra dicha resolución interpuso la demandante recurso de reposición que fue desestimado por resolución 1AO/7855, de 27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las anteriores decisiones administrativas, la ahora demandante, interpuso recurso contencioso para la protección de los derechos fundamentales que fue tramitado con el número 2-2010 por el Juzgado Central de lo Contencioso-Administrativo núm. 12 de la Audiencia Nacional. En su demanda la recurrente alegó vulneración del derecho a la igualdad y no discriminación por razón de sexo del art 14 CE, del derecho a la integridad y a la salud física y psíquica del art 15, y del derecho de igualdad en el acceso a los cargos públicos del art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de fecha 17 de mayo de 2011, el Juzgado Central de lo Contencioso-Administrativo desestimó la demanda de la Sra. S.R., al considerar que “no se desprende a nivel indiciario ninguna circunstancia de hecho concreta que permita determinar que el cese de la actora ha sido debido a su situación familiar creada por el embarazo”. El Juzgado se refiere a la existencia de informes no aportados por encontrarse clasificados con el grado de secretos, pero a los que se refiere un oficio del CNI y cuya incorporación había sido solicitada por la parte recurrente tanto en el trámite de ampliación del expediente como en la fase de prueba, que ponen de manifiesto diversos aspectos negativos sobre el desempeño de sus funciones por parte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dictada por el Juzgado Central se interpuso recurso de apelación del que conoció la Sección Quinta de la Sala de lo Contencioso-Administrativo de la Audiencia Nacional. En el citado recurso la demandante alegaba vulneración del derecho a la no discriminación por razón de sexo del art 14 CE, vulneración del derecho de defensa del art 24.2 CE, lesión esta última que se imputaba a la Sentencia dictada por el Juez Central, porque al haber rechazado la ampliación del expediente había impedido que la recurrente alegara lo que a su derecho conviniera respecto de los informes negativos, y vulneración del derecho a la salud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apelación fue desestimado por la Sentencia de fecha 23 de noviembre de 2011 de la Sección Quinta de la Sala de lo Contencioso-Administrativo de la Audiencia Nacional, al no apreciar circunstancias indiciarias lo bastante sólidas como para sostener que el cese no se produce por el motivo dado de ser evaluada de modo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Sentencia se formuló incidente de nulidad de actuaciones por incongruencia que fue desestimado por Auto de la misma Sección de fecha 22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las siguientes vulneraciones: i) vulneración del art. 14 en su vertiente de proscripción de la discriminación por razón de sexo; ii) vulneración del art. 24.2 CE en su vertiente de derecho a la defensa en su dimensión de audiencia y contradicción, porque el Juez hace prevalecer el carácter secreto de documentos que inciden de modo esencial en el panorama indiciario de discriminación; iii) vulneración del art. 24.2 CE en su vertiente del derecho a un proceso con todas las garantías al no plantear el Tribunal de apelación la cuestión prejudicial solicitada sobre el sentido de los arts. 21 y 47 de la Carta de los derechos fundamentales de la Unión Europea (CDFUE); y iv) vulneración del art. 24 CE por incongruencia omisiva, al no resolver las cuestiones planteadas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argumenta, en síntesis, lo siguiente: i) Se ha producido la vulneración del art. 14 CE, puesto que la demandante aportó unos indicios consistentes de que nunca resultó sancionada o expedientada, siempre fue valorada positivamente en todas sus evaluaciones anuales, en razón de su destacado desempeño obtuvo destinos en el despliegue exterior (octubre de 2006 a marzo de 2007), fue designada como jefa de sección, e incluso, en marzo de 2010, como consecuencia de la disolución del departamento, el CNI duplicó el número de miembros a su cargo como jefa de sección; se le asignó un complemento de productividad destinado a retribuir el especial rendimiento, la actividad extraordinaria y el interés o iniciativa con que se desempeñe el puesto de trabajo. Para su concesión se tuvieron en cuenta los informes personales en los que consta que tomó posesión de cuatro destinos para los cuales era necesario un acuerdo de Secretaria general “en razón a la apreciación de idoneidad y capacitación” (art. 4 del estatuto), y que quedó embarazada a principios de marzo, sin que el  aportara el más mínimo elemento de prueba para demostrar la tacha profesional que imputaba a la demandante. ii) La recurrente alega la lesión del derecho a la defensa, en su dimensión de audiencia y contradicción (art. 24 CE), porque el Juez hace prevalecer de un modo absoluto el carácter secreto de documentos que inciden de un modo esencial en el panorama indiciario de discriminación. iii) Para la parte recurrente, la Audiencia Nacional lesionó el derecho a un proceso con todas las garantías (art. 24 CE) al no plantear la cuestión prejudicial solicitada sobre el sentido de los arts. 21 y 47 CDFUE, para determinar la interpretación de la normativa europea aplicable al caso, dado que la cuestión a dilucidar es si unos documentos catalogados como secretos pueden constituirse en prueba que acredita la ausencia de discriminación padecida. iv) Finalmente, la parte recurrente alega la lesión del art. 24 CE por incongruencia omisiva al no resolver las cuestiones planteadas el recurso de apelación, puesto que la Sentencia de apelación reproduce párrafos enteros de otra Sentencia anterior lo que ha motivado que la Sentencia no se haya pronunciado respecto de algunas de las pretensiones que se planteaban en el recurso de apelación incurriendo en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julio de 2013 la Sala Segunda de este Tribunal acordó la admisión a trámite de la demanda de amparo presentada y, de conformidad con lo dispuesto en el art. 51 de la Ley Orgánica del Tribunal Constitucional (LOTC), dirigir atenta comunicación a la Sección Quinta de la Sala de lo Contencioso-Administrativo de la Audiencia Nacional y al Juzgado Central de lo Contencioso-Administrativo número 12 a fin de que remitieran certificación o copia adverada de las actuaciones y para que se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11 de septiembre de 2013 se acordó tener por personado y parte al Abogado del Estado y,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octubre de 2013 la demandante presentó alegaciones precisando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octubre de 2013 el Abogado del Estado presentó su escrito de alegaciones, en el que solicita la inadmisión parcial y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el personal que presta servicios en el CNI está sometido a un régimen estatutario particular que no permite la aplicación sin más de los principios generales de la función pública civil o militar, lo que se justifica por los fines que persigue, y que no estamos ante el cese en un puesto de trabajo, sino ante un caso en que se acuerda la baja en el Centro por falta de idoneidad, lo que, en principio, tampoco supone la pérdida de la relación funcionarial, dado que no se adquiere con aquella adscripción.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Abogado del Estado alega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Inexistencia de vulneración del art. 14 CE e inexistencia de discriminación por razón de embarazo, pues el Centro no conocía la situación de embarazo cuando evalúa por falta de idoneidad a la demandante de amparo, es más tal circunstancia no existía en el caso del primer informe negativo, por lo que no es posible que adopte una medida sobre la base de un hecho inexistente o desconocido. A ello se añade que la demandante quedó embarazada de su primer hijo siendo ya personal estatutario temporal del Centro sin que existiera ninguna represalia.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Inadmisibilidad del motivo por vulneración del art. 24 CE por falta de aportación de informes declarados reservados y subsidiariamente inexistencia de tal vulneración, pues la demandante no reprodujo la petición de prueba en segunda instancia por lo que el motivo debe ser inadmitido. En cuanto al fondo, nuestro ordenamiento sí recoge cauces para el control jurisdiccional en relación con los documentos clasificados y corresponde al Juez valorar la necesidad de desclasificación en cada caso concreto en función de los intereses en juego. Centrada así la cuestión y alegada una vulneración del art. 14 por discriminación, el Juez evaluó la inexistencia de indicios suficientes que determinaran la inversión de la carga de la prueba y así mismo, consideró que la demandante de amparo tenía datos suficientes para ejercitar su derecho de defensa sin necesidad de acudir a la desclasificación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Inexistencia de vulneración del art. 24 CE por no plantear cuestión prejudicial al Tribunal de Justicia de la Unión Europea sobre la interpretación de los arts. 21 y 47 CDFUE, ya que la Carta no crea unos nuevos derechos que deban ser objeto de una nueva interpretación sino que estos son consecuencia, entre otras fuentes, de la propia jurisprudencia del Tribunal de Justicia de la Unión Europea en aplicación del Derecho de la Unión y nos encontramos ante una cuestión ya resuelta por el Tribunal de Justicia de la Unión Europea y además, vemos que su interpretación coincide íntegramente con la aplicada en España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Inexistencia de vulneración del art. 24 CE por incongruencia omisiva de la Sentencia dictada en apelación por la Audiencia Nacional, pues el recurso de apelación presentado se centraba en que existían indicios suficientes para que se invirtiera la carga de la prueba, lo que implicaba que debían ser requeridos los documentos clasificados y, todo ello determinaba una vulneración, también del art. 15 CE y una frustración de la tutela de los derechos fundamentales objeto del proceso especial, entre ellos el 23.2 CE. A juicio del Abogado del Estado, la Sentencia se centra precisamente en esa cuestión, la inexistencia de indicios suficientes para invertir la carga de la prueba, constatando la inexistencia de estos, a la vez que recuerda en que ámbito estatutario especial se encuentra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octubre de 2013 el Ministerio Fiscal presentó su escrito de alegaciones, en el que se solicita la estimación del amparo por vulneración del derecho fundamental a la no discriminación por razón de sexo del art 14 CE, del derecho de defensa del art. 24.2 CE y del derecho a la tutela judicial efectiva del art 24.1 CE, basándose en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que la naturaleza mixta del recurso de amparo exige comenzar con el examen de las lesiones constitucionales que se imputan a las resoluciones administrativas (STC 5/2008, de 21 de enero) y en este sentido, el enjuiciamiento de la lesión del derecho de igualdad desde la perspectiva del derecho a la no discriminación por razón de sexo de la recurrente imputada, directamente, a la resolución administrativa de cese del Secretario de Estado, Director del Centro Nacional de Inteligencia, debe hacerse conjuntamente con la posible vulneración del derecho de defensa que se imputa en el recurso a la Sentencia dictada por el Juez Central de lo Contencioso-Administrativo núm. 12, debiéndose tener en cuenta que en el caso de producirse esta lesión del derecho de defensa de naturaleza procesal, en cuanto la misma se refiere a un derecho fundamental sustantivo como es el derecho a la no discriminación por razón de sexo del art 14 CE, la resolución judicial habría lesionado realmente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lesión del derecho de igualdad y a la no discriminación por razón de sexo del art 14 CE, que en el recurso de amparo se imputa a la resolución de cese dictada por el Secretario de Estado, Director del Centro Nacional de Inteligencia, de 31 de agosto de 2010, que fue considerada ajustada a Derecho por las resoluciones judiciales dictadas en el procedimiento del que trae causa este recurso, debe tenerse en cuenta la doctrina que sobre el contenido de dicho derecho fundamental ha sido establecida por el Tribunal Constitucional, y, en particular, en lo que concierne a la inversión de la carga de la prueba sobre la discriminación por razón de sexo que ha sido invocada en amparo. Las resoluciones judiciales dan plena relevancia a dos documentos clasificados, cuyo contenido no se ha podido conocer, para estimar que la Administración ha acreditado que la resolución de cese impugnada se produjo por motivos de falta de idoneidad de la recurrente y en el marco de discrecionalidad que corresponde a los responsables de este organismo para decidir ofrecer la incorporación permanente al personal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Juez Central, no hizo ningún juicio de proporcionalidad sobre la necesidad de prescindir de los informes reclamados, lo cual comprometía el derecho de defensa de la demandante, la validez y relevancia que otorga a los citados informes ha lesionado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invoca la STEDH 15 noviembre 1996 (caso Chahal c. Reino Unido), y alega que el Tribunal Supremo se ha pronunciado en supuestos referidos al otorgamiento de la nacionalidad española, en los que la Administración ha denegado la misma por razones de orden público e interés nacional, sobre la base de informes del CNI con el carácter de secretos, declarando que los informes clasificados que quedan fuera del control judicial sobre su contenido, no pueden servir para justificar la denegación del otorgamiento de la nacionalidad sobre la base de concurrir razones de orden público o interés nacional, dado que en tales casos el órgano judicial no ha podido comprobar la concurrencia de tales razones de orden público e interés nacional alegadas por la Administración, estimando que las resoluciones judiciales que, en su caso, avalaron la resolución administrativa de denegación de la nacionalidad vulneraban el derecho a la tutela judicial efectiva del recurrente (SSTS, Sala de lo Contencioso-Administrativo, Sección Sexta, de 17 de enero de 2006, 29 de octubre de 2007, y 12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recurso de amparo se imputa a la Sentencia de 23 de noviembre de 2011, dictada en apelación por la Sección Quinta de la Sala de lo Contencioso-Administrativo de la Audiencia Nacional, una lesión autónoma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apoya esta lesión del derecho de la tutela judicial efectiva en dos motivos distintos: a) el que la Sala de lo Contencioso no acogiera su petición de plantear cuestión prejudicial al Tribunal de Justicia de la Unión Europea y b) el que la Sentencia dictada en segunda instancia incurre en incongruencia omisiva al no dar respuesta a algunas de las cuestiones que se planteaban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planteamiento de la cuestión prejudicial, el Ministerio Fiscal estima que la Audiencia Nacional no lesionó el derecho a la tutela judicial al no elevar la cuestión prejudicial, puesto que conforme al art 267 del Tratado de funcionamiento de la Unión Europea la cuestión prejudicial sólo es necesaria en el caso de que existan dudas objetivas interpretativas.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alegación de la lesión del derecho a la tutela judicial efectiva por incurrir la Sentencia de apelación en incongruencia omisiva, se desprende que ésta no se pronuncia sobre la vulneración del derecho de defensa alegada en su recurso de apelación y que se imputa a la Sentencia del Juzgado Central de lo Contencioso-Administrativo y que se utilizan iguales fundamentos de otro recurso, que no era idéntico, por lo que se lesiona el derecho a la tutela judicial efectiva de la demandante al incurrir en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2014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del presente recurso de amparo la Sentencia de 23 de noviembre de 2011 y el Auto de 22 de febrero de 2012 dictados por la Sección Quinta de la Sala de lo Contencioso-Administrativo de la Audiencia Nacional en recurso de apelación 130-2011, que desestima el recurso de apelación interpuesto contra la Sentencia de 17 de mayo de 2011 dictada por el Juzgado Central de lo Contencioso-Administrativo número 12, en el procedimiento de protección de derechos fundamentales número 2-2010, que, a su vez, desestima el recurso contencioso contra la resolución de cese núm. 132-2010, de 31 de agosto, dictada por el Secretario de Estado, Director del Centro Nacional de Inteligencia (CNI).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denuncian, con la argumentación que ha quedado expuesta en los antecedentes de esta resolución, las siguientes infracciones: i) vulneración del art. 14, en su vertiente de proscripción de la discriminación por razón de sexo; ii) vulneración del art. 24.2 CE, en su vertiente de derecho a la defensa en su dimensión de audiencia y contradicción, porque el Juez hace prevalecer el carácter secreto de documentos que inciden de modo esencial en el panorama indiciario de discriminación; iii) vulneración del art. 24.2 CE, en su vertiente del derecho a un proceso con todas las garantías al no plantear el Tribunal de apelación la cuestión prejudicial solicitada sobre el sentido de los arts. 21 y 47 de la Carta de derechos fundamentales de la Unión Europea; y iv) vulneración del art. 24.1 CE, por incongruencia omisiva al no resolver las cuestiones planteadas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en tanto que el Abogado del Estado interesa la inadmisión parcial del segundo de los motivos y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cuestiones planteadas en este recurso, y en cuanto a la naturaleza de esta demanda de amparo, debemos poner de manifiesto que, tal como alega el Fiscal, estamos ante un recurso mixto, pues se impugnan, tanto las resoluciones administrativas dictadas por el Secretario de Estado, Director del Centro Nacional de Inteligencia, que disponen el cese de la demandante, considerando ésta que han vulnerado su derecho a la no discriminación por razón de sexo reconocido en el art 14 CE, como las Sentencias dictadas en el procedimiento contencioso de derechos fundamentales, en cuanto que las resoluciones judiciales no restablecieron el derecho vulnerado por la Administración e incurrieron en la infracción autónoma del derecho de defensa del art 24.2 CE y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por tanto cuál sea el orden que deba seguirse en el enjuiciamiento de las vulneraciones alegadas, y si, en su caso, deben serlo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indicaba en la STC 5/2008, de 21 de enero, FJ 2, puede sostenerse como criterio general que en los amparos mixtos la pretensión deducida por la vía del art. 43 de la Ley Orgánica del Tribunal Constitucional (LOTC) es autónoma y su examen resulta, en principio, preeminente. En efecto, la lesión imputada a la actuación administrativa es autónoma respecto del proceso judicial que precede al recurso de amparo; de otro modo la previsión del art. 43 LOTC no pasaría de ser una especificación redundante del art. 44 LOTC, puesto que, ciertamente, toda lesión de un derecho constitucional susceptible de amparo atribuida a una actuación administrativa podría denunciarse por el cauce del art. 44 LOTC en la medida en que no hubiera obtenido reparación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preeminencia de la pretensión impugnatoria del art. 43 LOTC no se refiere sólo ni primordialmente al orden en el que normalmente deban ser examinadas las quejas formuladas en la demanda de amparo sino, sobre todo, a la incidencia que el pronunciamiento sobre la constitucionalidad de la actuación administrativa pueda tener sobre la queja encauzada por la vía del art. 44 LOTC, hasta el punto de poder hacer innecesario el examen de esta última o de dotar de efectos meramente declarativos al otorgamiento del amparo. Esta preeminencia tiene su fundamento en que la comisión de una lesión constitucional en el transcurso del proceso judicial no impide que el acto administrativo siga siendo el verdadero objeto del proceso de amparo que finalmente deviene en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atendida la naturaleza mixta del recurso de amparo, debemos analizar en primer lugar las lesiones constitucionales que se imputan a las resoluciones administrativas, esto es, la vulneración del derecho a la igualdad, desde la perspectiva del derecho a la no discriminación por razón de sexo del art 14 CE, que imputa a la resolución núm. 132/2010, de 31 de agosto, dictada por el Secretario de Estado, Director del Centro Nacional de Inteligencia, en que el acuerdo de baja se ha producido por razón del embarazo de su segundo hijo, y no por existir informes desfavorables sobre la idoneidad o el desempeño de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examen de esta queja, debemos partir de nuestra consolidada doctrina que ha venido delimitando el contenido del derecho fundamental a la no discriminación por razón de sexo, a la vista de las circunstancias del caso concreto, si la recurrente en amparo aporta indicios de discriminación suficientes y si, en tal supuesto, como consecuencia del juego de la prueba indiciaria, la empleadora cumple con su obligación de rebatirlos justificando que su actuación fue absolutamente ajena a todo propósito atentatorio de derechos fundamentales (SSTC 17/2007, de 12 de febrero, FJ 4, y 173/2013, de 10 de octubre,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ha declarado repetidamente este Tribunal, para que se produzca este desplazamiento al demandado del onus probandi no basta simplemente con que el actor tache la medida de discriminatoria, sino que, además, “ha de acreditar la existencia de indicios que generen una razonable sospecha, apariencia o presunción a favor de su alegato” (SSTC 136/1996, de 23 de julio, FJ 6, y 48/2002, de 25 de junio, FJ 5). Sólo, pues, cuando esto último sucede, la parte demandada asume “la carga de probar la existencia de causas suficientes, reales y serias para calificar de razonable su decisión”, y destruir así la sospecha o presunción de lesión constitucional generada por los indicios (STC 98/2003, de 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como ya dijimos en la STC 144/2006, de 8 de mayo, FJ 4, “[p]ara apreciar la concurrencia del indicio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Esto es, son admisibles diversos resultados de intensidad en la aportación de la prueba que concierne a la parte actora, pero habrá de superarse inexcusablemente el umbral mínimo de aquella conexión necesaria, pues de otro modo, si se funda la demanda en alegaciones meramente retóricas, o falta la acreditación de elementos cardinales para que la conexión misma pueda distinguirse, haciendo inverosímil la inferencia, no se podrá pretender el desplazamiento del onus probandi al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o la demandante que invoca la aplicación de la regla de la prueba indiciaria debe desarrollar una actividad alegatoria suficientemente precisa y concreta en torno a los indicios de la existencia de discriminación. Alcanzado, en su caso,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tales indicios (STC 2/2009, de 12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opera en los supuestos de decisiones discrecionales, o no causales, y que no precisan por tanto ser motivadas, pues ello no excluye que, desde la perspectiva constitucional, sea igualmente ilícita una decisión discrecional contraria a los derechos fundamentales del trabajador, lo cual hemos aplicado en el ámbito de las relaciones de los empleados públicos y la Administración y, más concretamente, en los casos de puestos de trabajo de libre designación (STC 98/2003, de 2 de junio, FJ 2) , pues “la correlativa libertad de cese [que está implícita en la de libre nombramiento] es una libre facultad que, en el plano de la constitucionalidad, también queda limitada por el respeto a los derechos fundamentales” (SSTC 17/1996, de 7 de febrero, FJ 4, y 202/1997, de 25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 plenamente aplicable al supuesto del presente recurso de amparo donde se trata de la denegación de la integración definitiva de la recurrente en el CNI que implica su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 anterior, y en los términos enunciados, nos corresponde analizar si, en el presente caso, la demandante de amparo acreditó en el proceso judicial la existencia de un panorama indiciario del que surja, de modo razonable, la fundada sospecha o presunción de lesión constitucional generada por los 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las actuaciones se concluye que la demandante pone de manifiesto en su demanda de amparo, como también lo hizo al interponer el recurso contencioso del que aquella trae causa,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ingresó en el CNI como personal estatutario temporal el 6 de septiembre de 2004, de conformidad con lo prevenido en el Real Decreto 1324/1995, de 28 de julio, modificado por el Real Decreto 327/2004, de 27 febrero, por el que se establece el estatuto del personal del Centro Nacional de Inteligencia, aquí aplicable por razones temporales y transcurrido un periodo de seis años, el  debería ofrecer su integración con carácter definitivo en el centro o en otro caso debía ser cesada antes de finalizar el sexto año de prestar servicio en situación administrativa de actividad por no ser idónea (art 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los años en que prestó servicios se fueron emitiendo valoraciones sobre su desempeño que reconocían que era satisfactorio y en este punto, la demandante se refiere al oficio 1A0-C/7412, de fecha 1 de octubre de 2010, dirigido por el Subdirector de Recursos Humanos a la Asesoría Jurídica que obra en el expediente administrativo (folios 64-66), en cuyo apartado cuarto se expone que “se han emitido tres informes de valoración de idoneidad (periodo de prueba y formación inicial) relativos a la Sra. [S.R.] a los 6, 12 y 20 meses desde su ingreso en el Centro, resultando todos ellos globalmente positivos. Finalmente superó el periodo de valoración de idoneidad el 6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menciona que en los siguientes años fue objeto de informes personales que se corresponden con una valoración anual por los jefes directos sobre su actuación profesional y eficacia en el desempeño del puesto de trabajo que indica fueron favorables (art 12 del estatuto del personal) y subraya que a lo largo de su trayectoria profesional en el centro nunca fue apercibida o amonestada, ni fue objeto de un expediente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la recurrente señala la existencia de otros datos que considera ponen de manifiesto que el servicio desempeñado por la misma, no solo mereció un juicio favorable, sino una consideración destacada; en concreto menciona las siguientes circunstancias: a) fue comisionada en un puesto en el exterior entre octubre de 2006 y marzo de 2007, lo cual requiere especial confianza e idoneidad, no siendo común esta asignación a personal no permanente; b) las nóminas por ella aportadas reflejan un complemento de productividad que se mantuvo o se vio incrementado lo que resulta relevante teniendo en cuenta lo previsto en el art 27.3 c) del estatuto del personal; c) el Centro le encargó dos veces la condición de jefa de equipo, y una vez más en forma interina; y d) a finales de julio de 2010 tomó posesión de un puesto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anteriores circunstancias, a la demandante, tras quedarse embarazada de su segundo hijo en marzo de 2010, se le comunica en abril de 2010 mediante nota de servicio, sin motivación alguna, que su integración como personal estatutario permanente se aplazaba por un periodo máximo de seis meses y que se requiere a su organismo de destino un nuevo informe para decidir sobre “el ofrecimiento de integración con carácter permanente” y el 1 de septiembre de 2010, cuando estaba embarazada de más de cinco meses, se le notificó la resolución del Secretario de Estado, Director del Centro Nacional de Inteligencia, núm. 132/2010, de 31 agosto, que acuerda su baja, de conformidad con lo previsto en el art 18 d) del Real Decreto 1324/1995, que se hará efectiva en el plazo de seis meses, lo cual se realiza mediante una resolución formularia, sin mayor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este planteamiento, debe entenderse que en el presente asunto la demandante aportó indicios que razonablemente apuntan a la existencia de un móvil discriminatorio contrario al art. 14 CE en la decisión administrativa que ordenó su cese, dada la correlación temporal entre la manifestación de su embarazo y la resolución administrativa que acordó su cese, sin que se produjeran acontecimientos que permitieran presagiar ese desenlace, lo que genera una apariencia o sospecha que determina el desplazamiento de la carga de la prueba a la Administración, conforme a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sentada la existencia de un panorama indiciario de discriminación, correspondía a la Administración probar que la decisión del cese de la recurrente obedeció a razones objetivas y ajenas por completo a cualquier ánimo discriminatorio, alegando que el cese se produjo por razón de la falta de idoneidad de la recurrente reflejada en diversos aspectos negativos que pusieron de manifiesto determinados informes que, sin embargo, no se aportan por la Administración por estar clasificados como secretos.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Administración utilizó un formulario de cese y sólo fundó mínimamente su decisión al resolver el recurso de reposición interpuesto por la demandante por Resolución de fecha 27 de octubre de 2010 , argumentando que concurría el supuesto de inidoneidad que recoge el art 18 d) del estatuto del personal del centro. En dicha resolución no se hacía referencia a ningún elemento en concreto que determinara una valoración negativa sobre la demandante, si bien existe un informe previo de la Asesoría Jurídica de fecha 1 de octubre de 2010 (folios 64-66) donde se opone la existencia de dos informes, de fechas 16 de diciembre de 2009 y 15 de julio de 2010, de la Dirección de Apoyo a la Inteligencia, que contenían aspectos desfavorables al desempeño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informes desfavorables son los que justificaron la decisión de cese, según mantuvo la Administración en el procedimiento judicial de derechos fundamentales, si bien en ningún momento llegó a aportarlos al procedimiento, al no incluirlos en el expediente administrativo ni tampoco remitirlos cuando fue requerida al efecto por el Juzgado Central de lo Contencioso-Administrativo número 12, con fundamento en que se trataba de informes declarados secretos, ante lo cual el Juzgado Central se aquietó y desestimó la solicitud de la demandante que en el trámite de prueba solicitó la aportación de los citados informes al entender dicha proposición de prueba como impertinente. Finalmente, la Sentencia de apelación tampoco atiende la petición de la recurrente de que se acuerde lo necesario para que se aporten los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existe ningún elemento que desvirtúe los elementos indiciarios de discriminación a los que hemos hecho referencia, no habiéndose aportado los informes negativos citados en el informe de la Asesoría Jurídica del Centro Nacional de Inteligencia de fecha16 de diciembre de 2009 y 15 de julio de 2010, al estar clasificados como secretos.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debemos entender que se ha producido la discriminación aducida por la demandante, puesto que las resoluciones judiciales parten de un presupuesto erróneo según hemos expuesto, cual es que no existe un panorama indiciario suficiente, y la Administración no acreditó mínimamente que la decisión del cese de la recurrente obedeció a razones objetivas y ajenas por completo a cualquier ánimo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inactividad probatoria de la Administración no resulta justificada por la aducida clasificación como secretos de los informes de valoración del desempeño de la recurrente, puesto que ello no puede suponer un espacio de inmunidad al control jurisdiccional; en este sentido, la STEDH de 15 de noviembre de 1996, caso Chahal c. Reino Unido, afirma que “el Tribunal reconoce que el uso de información de carácter confidencial puede ser inevitable cuando se halla en juego la seguridad nacional. Pero eso no implica que las autoridades nacionales hayan de quedar libres de controles efectivos por parte de los tribunales nacionales siempre que afirmen estar ante un problema de seguridad nacional o de terrorismo” (párrafo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subrayarse que estamos ante informes sobre una funcionaria del Centro, evaluando su idoneidad, por lo que, tal como alega el Fiscal, parece lógico deducir que la Administración, preservando la información material cubierta por la legislación de secretos oficiales, podía haber concretado motivadamente una suficiente explicación que permitiera conocer aquellos hechos o aspectos negativos del desempeño de sus funciones que fueran relevantes para que no se integrara a la demandante como personal estatutario permanente y en todo caso, fueran susceptibles del necesario control judicial, todo ello con las debidas cautelas para no infringir el carácter secreto de los documentos y la necesaria preservación de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expuestos conducen a otorgar el amparo, una vez constatada la existencia de discriminación por razón de sexo en la resolución administrativa impugnada, sin necesidad de entrar a conocer el resto de los motivos, habida cuenta que, conforme advertíamos al principio, sólo mediata e indirectamente entra en juego el derecho a la tutela judicial efectiva sin indefensión en la medida que no reparó la lesión constitucional cometida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y la nulidad por este motivo de la resolución administrativa que dispuso el cese de la recurrente implica forzosamente la declaración de nulidad de las resoluciones del Juzgado Central y de la Sala de lo Contencioso-Administrativo de la Audiencia Nacional que la confirmaron, con la finalidad de restablecer el derecho fundamental vulnerado (SSTC 291/1993, de 18 de octubre, FJ 2, y 98/2003, de 2 de junio,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N.S.R.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no ser discriminada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resolución de cese núm.  132/2010, de 31 de agosto, del Secretario de Estado, Director del Centro Nacional de Inteligencia, así como la Sentencia de 17 de mayo de 2011 dictada por el Juzgado Central de lo Contencioso-Administrativo número 12 y la Sentencia de 23 de noviembre de 2011 y Auto de 22 de febrero de 2012, dictados por la Sección Quinta de la Sala de lo Contencioso-Administrativo de la Audiencia Nacional, que la confirman.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