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19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julio de 2013, la Procuradora de los Tribunales doña Sylvia Scott-Glendonwyn Álvarez, en nombre y representación de la comunidad de propietarios Martín Pescador, interpuso demanda de amparo contra el Auto de la Sala de lo Civil del Tribunal Supremo de 28 de mayo de 2013, por el que se inadmite el recurso de casación núm. 2012-2012,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16 de diciembre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4249-2013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