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24 de marzo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18 de septiembre de 2013, don Pedro Ruiz Reguero, representado por la Procuradora de los Tribunales doña María Fuencisla Martínez Mínguez y asistido por el Letrado don Fernando Romón Sánchez, interpuso recurso de amparo contra el Auto de 18 de junio de 2013, dictado en el recurso de casación núm. 2606-2012 por la Sala de lo Civil del Tribunal Supremo, por el que se inadmitió el recurso de casación interpuesto contra la Sentencia de 12 de julio de 2012, dictada por la Sección Tercera de la Audiencia Provincial de Mérida, desestimatoria de la apelación interpuesta contra la Sentencia de 13 de febrero de 2012 dictada por el Juzgado de Primera Instancia e Instrucción de Mérida. La demanda de amparo solicita que se dicte Sentencia declarando que se ha vulnerado el derecho de la parte recurrente a la tutela judicial efectiva y anulando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fecha 28 de enero de 2014, y de conformidad a lo dispuesto en el art. 56 de la Ley Orgánica del Tribunal Constitucional (LOTC), el recurrente solicitó la suspensión de la resolución impugnada. Alegaba en síntesis que la no suspensión de las resoluciones recurridas, en cuanto que concedían un amplio régimen de visitas a los abuelos maternos, provocaría un grave perjuicio para sus hijos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fue admitida a trámite en providencia de la Sala Segunda de 13 de febrero de 2014, formándose la pieza de suspensión y, de conformidad con lo previsto en el art. 56 LOTC, se acordó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presentó escrito el 20 de febrero de 2014, en el que se ratifica en la petición de suspensión solicitada en su día, añadiendo que el demandante estaba siendo objeto de reiteradas denuncias por incumplimiento, y que el régimen de visitas y estancia no está siendo cumplido por los abuelos.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27 de febrero de 2014, el Ministerio Fiscal interesa que se dicte Auto denegando la suspensión de la resolución recurrida en la demanda de amparo alegando, en síntesis, que no hay suficientes datos que permitan concluir la conveniencia de una suspensión del régimen de visitas ni que su cumplimiento efectivo esté ocasionando un perjuicio de carácter personal y/o psicológico a los menores.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cautelar de suspensión consiste en determinar si procede acordar la suspensión de la ejecución de la resolución judicial recurrida que la parte recurrente concreta en la dictada por el Juzgado de Primera Instancia núm. 3 de Mérida, núm. 23-2012, de 13 de febrero, que después fue confirmada por Sentencia de 12 de julio de 2012 dictada por la Sección Tercera de la Audiencia Provincial de Badajoz.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facultad de este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interpretación del art. 56.2 LOTC, este Tribunal ha venido entendiendo que la suspensión se configura como una medida provisional de carácter excepcional y de aplicación restrictiva, dado el interés general en la efectividad de las decisiones de los poderes públicos, lo cual significa que se ha de apreciar la pérdida de la finalidad del recurso de amparo para que aquélla deba adoptarse necesariamente. El mismo art. 56.2 LOTC remite a un juicio motivado de ponderación en el que hay que confrontar, de un lado, el perjuicio que se causa al recurrente como consecuencia de la eficacia de la resolución recurrida y, de otro, el perjuicio que causa al interés público o a terceros la suspensión de la ejecución de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 relación a los casos como el presente en que puedan resultar afectados los intereses de menores, con arreglo a la doctrina de este Tribunal, “la ponderación de intereses en juego para decidir acerca del otorgamiento o denegación de la suspensión instada debe ser extremadamente cuidadosa y subordinada en todo caso a la protección jurídica de la persona y de los derechos de personalidad de los menores afectados” (AATC 21/2002, de 25 de febrero, FJ 3; 273/2003, de 22 de julio, FJ 3, y 108/2005, de 14 de marzo, FJ 1,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examinado, el demandante de amparo alega que la ejecución del régimen de visitas con los abuelos causa un grave perjuicio para sus dos hijos menores de edad, aportando una nota manuscrita de su hija, sin fecha, y un informe emitido por una psicóloga. En el escrito de solicitud de la suspensión no se hace referencia a si el régimen de visitas se estaba cumpliendo efectivamente ni a los efectos que ello pudiera producir en los menores. Posteriormente, en el escrito de alegaciones de fecha 20 de febrero de 2014 se manifiesta que el régimen de visitas no está siendo cumplido por los abuelos.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no existen datos suficientes que permitan constatar la existencia de la aducida desestabilización de los menores derivada de la ejecución del régimen de visitas con los abuelos, puesto que, como alega el Ministerio Fiscal, no puede valorarse con certeza la actual situación de los menores a la vista de las actuaciones y por la falta de relación directa con las pruebas personales practicadas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tenerse en cuenta que el régimen de visitas fue adoptado por las instancias judiciales ponderando el interés de los menores, tras oírles, sin olvidar que se trata de medidas que son esencialmente modificables, de manera que el demandante cuenta con vías apropiadas en la jurisdicción ordinaria para instar la modificación o suspensión provisional del régimen de visitas si acredita que el mismo es perjudicial para el desarrollo evolutivo de los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resulta que no puede conectarse la protección de la finalidad de este recurso de amparo con mantener o no un determinado régimen de visitas, que podría ser modificado en sede de jurisdicción ordinaria, si varían las circunstancias, incluso durante la tramitación de este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precedentes conducen, en este momento procesal y sin prejuzgar el fondo del asunto, a denegar la suspensión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interesada en la pieza separada tramitada en el recurso de amparo 5167-2013, promovido por don Pedro Ruiz Reguero.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