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3224-2012, promovido por don Jesús María Uribechevarría Bolinaga, representado por el Procurador de los Tribunales don Javier Cuevas Rivas y asistido por la Abogada doña Ainhoa Baglietto Gabilondo, contra el Auto de la Sección Tercera de la Sala de lo Penal de la Audiencia Nacional de 30 de junio de 2011, dictado en la ejecutoria núm. 9-2001, correspondiente al rollo de Sala núm. 104-1997, procedente del sumario núm. 12-1997 del Juzgado Central de Instrucción núm. 5; contra el Auto de 1 de marzo de 2012 de la Sala de lo Penal del Tribunal Supremo (recurso núm. 11602-2011), que acuerda no haber lugar a la admisión del recurso de casación interpuesto contra el anterior; y contra la providencia de 11 de mayo de 2012 de la misma Sala por la que se acuerda la inadmisión del incidente de nulidad interpuesto contra el último Auto.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25 de mayo de 2012 en el Decanato de los Juzgados de Madrid conforme a lo previsto en el art. 85.2 de la Ley Orgánica del Tribunal Constitucional (LOTC), que fue recibido en el Registro General de este Tribunal el 31 de mayo siguiente, el Procurador de los Tribunales don Javier Cuevas Rivas, en nombre y representación de don Jesús María Uribechevarría Bolinaga y bajo la dirección de la Abogada doña Ainhoa Baglietto Gabilondo,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siete procesos penales distintos a diversas penas de prisión, que suman un total de doscientos noventa y tres años, ocho meses y un día de privación de libertad. En todas estas causas permaneció cautelarmente en situación de prisión provisional y de forma simultánea por varias causas, coincidiendo diversos periodos de prisión preventiva con la condición de penado. Específicamente, en la causa seguida ante la Sección Tercera de la Sala de lo Penal de la Audiencia Nacional como rollo núm. 104-1997 (sumario núm. 12-1997), en la que recayó Sentencia condenatoria el 10 de noviembre de 2000, permaneció como preso preventivo desde el 6 de julio de 1997 hasta el 16 de enero de 2001, coincidiendo el periodo de prisión provisional con la situación de penado desde el 7 de septiembre de 1998 hasta el 16 de enero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28 de marzo de 2001, la Sección Tercera de la Sala de lo Penal de la Audiencia Nacional acordó acumular todas las condenas impuestas al penado (arts. 17.5 y 988 de la Ley de enjuiciamiento criminal), fijando en treinta años de privación de libertad el límite máximo de cumplimiento por todas las penas, conforme a la regla 2 del Código penal de 1973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25 de junio de 2002, la Sección Tercera de la Sala de lo Penal de la Audiencia Nacional aprobó la liquidación de condena practicada por el Secretario judicial, conforme a la cual de los treinta años de privación de libertad (10.950 días) que había de cumplir el penado deben descontarse los 428 días que permaneció en prisión preventiva en la causa núm. 104-1997 (desde el 6 de julio de 1997 hasta el 6 de septiembre de 1998), lo que determina un total de cumplimiento de 10.522 días, fijándose como fecha de extinción el 28 de junio de 2027.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3 de enero de 2011 el recurrente solicitó a la Sección Tercera de la Sala de lo Penal de la Audiencia Nacional, con fundamento en la STC 57/2008, de 28 de abril, que se practicara nueva liquidación de condena, abonándosele el periodo de prisión preventiva desde la firmeza de la Sentencia dictada en una de las causas por la que fue condenado (Sentencia de 29 de junio de 1998, dictada por la Sección Primera de la misma Sala en el rollo núm. 1-1996), hasta la firmeza de la Sentencia dictada el 10 de noviembre de 2000 por la Sección Tercera en el rollo núm. 104-1997, dimanante del sumario núm. 12-1997.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30 de junio de 2011, la Sección Tercera de la Sala de lo Penal de la Audiencia Nacional, de conformidad con el informe del Ministerio Fiscal, desestimó la petición del recurrente y mantuvo la liquidación de condena aprobada, razonando que los abonos del tiempo de prisión preventiva, coincidan o no con periodos de cumplimiento de condena, se aplican en función del cumplimiento cronológico de las penas impuestas, en virtud de los arts. 75 y 76 CP 1973 y la jurisprudencia al respecto, recogida en la Sentencia de la Sala de lo Penal del Tribunal Supremo de 28 de marzo de 2011; por ello, al hacerse el cómputo de la prisión preventiva sobre la totalidad de la condena en función del referido criterio progresivo, el abono del periodo interesado carecería de consecuencias prácticas a efectos de cumplimiento efectivo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de amparo recurrió en casación dicha resolución judicial. Por Auto de 1 de marzo de 2012 (recurso núm. 11602-2011), la Sala de lo Penal del Tribunal Supremo acuerda no haber lugar a la admisión del recurso de casación. El Tribunal Supremo confirmó la resolución recurrida razonando que, en virtud de la jurisprudencia de la propia Sala de lo Penal (por todas, Sentencias de 24 de marzo de 2010 y 11 de junio de 2010) y de la doctrina sentada por el Tribunal Constitucional en su STC 57/2008, sobre la interpretación que ha de efectuarse del art. 58.1 CP a efectos de abono del tiempo de prisión preventiva coincidentes con periodos de cumplimiento de condena, la pretensión del recurrente debe ser rechazada, pues lo que postula es que se le abone doblemente el tiempo de prisión preventiva sufrido en las causas que señala, cuando resulta que ese periodo ya ha sido tenido en cuenta y abonado en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procesal del recurrente promovió incidente de nulidad de actuaciones ex art. 241.1 de la Ley Orgánica del Poder Judicial contra el Auto por violación de los derechos fundamentales a la libertad (art. 17.1 CE) y a la tutela judicial efectiva (art. 24.1 CE), siendo inadmitido el incidente por providencia de 11 de mayo de 2012, al entender la Sala que se limita a reiterar los argumentos ya formulados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afirma en su demanda de amparo que las resoluciones judiciales impugnadas han vulnerado su derecho fundamental a la libertad (art. 17.1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que dicha vulneración se ha producido al no habérsele abonado, para el cumplimiento de las penas acumuladas que extingue, el tiempo de prisión provisional sufrido desde la firmeza de la Sentencia dictada en una de las causas por la que fue condenado (Sentencia de 29 de junio de 1998, dictada por la Sección Primera de la Sala de lo Penal de la Audiencia Nacional en el rollo núm. 1-1996), hasta la firmeza de la Sentencia dictada el 10 de noviembre de 2000 por la Sección Tercera de la misma Sala en el rollo núm. 104-1997 (esto es, desde el 7 de septiembre de 1998 hasta el 16 de enero de 2001), tal y como preveía el art. 58.1 CP (redacción anterior a su reforma por Ley Orgánica 15/2003, de 25 de noviembre), y como resulta de la doctrina sentada por este Tribunal en la STC 57/2008, de la que se apartan las resoluciones judiciales impugnadas, según el recurrente; ello supone un alargamiento ilegítimo del tiempo de permanencia en prisión, vulnerando así su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recurrente solicitando que se le otorgue el amparo, con declaración de nulidad de las resoluciones judiciales impugnadas y ordenando que se retrotraigan las actuaciones al momento inmediatamente anterior a dictarse el Auto de la Sección Tercera de la Sala de lo Penal de la Audiencia Nacional de 30 de junio de 2011, a fin de que por este órgano judicial se proceda a dictar nueva resolución, respetuosa con los derechos fundamentales a la libertad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diciembre de 2012, la Sala Primera de este Tribunal acordó la admisión a trámite del recurso de amparo y, en aplicación de lo previsto en el art. 51 LOTC, ordenó dirigir atenta comunicación a la Sala de lo Penal del Tribunal Supremo y al Servicio de ejecutorias penales de la Audiencia Nacional, a fin de que, respectivamente, en el plazo de diez días, remitieran certificación o fotocopia adverada de las actuaciones correspondientes al recurso de casación núm. 11602-2011 y a la ejecutoria núm. 9-2001 de la Sección Tercera de la Sala de lo Penal de la Audiencia Nacional; y para que se emplazara por este órgano judicial a quienes hubieran sido parte en el procedimiento, excepto al recurrente,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cumplimentados los emplazamientos requeridos, por diligencia de ordenación del Secretario de Justicia de la Sala Primera de 11 de enero de 2013 se dio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alegaciones mediante escrito registrado en este Tribunal el día 20 de febrero de 2013, en el que, tras exponer los antecedentes procesales de los que trae causa el asunto y los argumentos expuestos por el recurrente, solicitó el otorgamiento del amparo, por las razones que seguidamente resumimos.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recuerda la doctrina sentada por este Tribunal en la STC 57/2008, así como en las SSTC 92/2012, de 7 de mayo; 158/2012, de 17 de septiembre, y 193/2012, de 29 de octubre, sobre el abono, para el cumplimiento de la pena de prisión impuesta, del tiempo de prisión preventiva sufrido por el penado, e indica que el examen de las circunstancias concurrentes en el presente caso conduce a la conclusión de que las resoluciones judiciales impugnadas no se acomodan a la referida doctrina constitucional. El recurrente pretende que se le compute para el cumplimiento efectivo de la pena de treinta años de prisión el tiempo de prisión preventiva que sufrió desde la firmeza de la Sentencia de 29 de junio de 1998, dictada por la Sección Primera de la Sala de lo Penal de la Audiencia Nacional en el rollo núm. 1-1996, hasta la firmeza de la Sentencia dictada el 10 de noviembre de 2000 por la Sección Tercera de la misma Sala en el rollo núm. 104-1997 (esto es, desde el 7 de septiembre de 1998 hasta el 16 de enero de 2001). Entiende el Fiscal que dicha pretensión debió ser estimada por la Audiencia Nacional, porque el indicado periodo de prisión preventiva, simultáneo al de cumplimiento de condena, no fue tenido en cuenta en la liquidación de condena practicada, exclusión que carece de cobertura normativa y que entra en contradicción con la doctrina establecida en la STC 57/2008. Por ello considera el Fiscal que las resoluciones judiciales recurridas en amparo han vulnerado el derecho a la libertad personal (art. 17.1 CE) del recurrente, por lo que deben ser anuladas para que la Sección Tercera de la Sala de lo Penal de la Audiencia Nacional dicte nueva resolución respetuosa con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abril de 2014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el recurrente había simultaneado la condición de preso preventivo y de penado, para el abono de la prisión provisional en una ejecutoria en que se había acordado la acumulación de las condenas impuestas en diversas causas,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en Pleno sobre esta cuestión en la STC 35/2014, de 27 de febrero (“Boletín Oficial del Estado” núm. 73, de 25 de marzo de 2014),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35/2014,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de 22 de junio—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(reiterada por la STC 55/2014, de 10 de abril) a las resoluciones impugnadas, podemos afirmar que el argumento contemplado en las mismas por el que se rechaza la solicitud de incluir en la liquidación como tiempo de abono el periodo comprendido desde el 7 de septiembre de 1998 hasta el 16 de enero de 2001, en que el recurrente simultaneó la situación de preso preventivo con la de penado, no puede tacharse de irrazonable. En efecto, la decisión judicial de no incluir en la liquidación el periodo de tiempo referido se fundamenta en que ya ha sido tenido en cuenta y abonado con ocasión de otra causa que cumple el recurrente, sin que la ley penal le otorgue el derecho a que todos los periodos de prisión preventiva simultáneos a la situación de penado le sean descontados del límite máximo de cumplimiento efectivo de las condenas acumuladas, fijado en su caso en treinta años. Esta interpretación de la legalidad no es contraria a la Constitución, pues, como señala la citada STC 35/2014, FJ 5, no es constitucionalmente exigible una interpretación conjunta de los arts. 58.1, 75 y 76 CP que imponga una y otra vez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resoluciones judiciales impugnadas no han producido la alegada lesión del derecho a la libertad del demandante (art. 17.1 CE), al no contravenir lo dispuesto en el 58.1 CP, ni quebrantar tampoco el fundamento y los fines que justifican la acumulación jurídica (art. 76 CP), “a saber, mitigar el rigor de la acumulación material de penas, superando la finalidad meramente retributiva de la pena y acomodando la actividad punitiva a la conformación del Estado como Estado social y democrático” (STC 35/2014, FJ 6),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María Uribechevarría Bolinaga.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recurso de amparo núm. 3224-2012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con la fundamentación jurídica de la Sentencia y con su fallo por las mismas razones expuestas en el Voto particular que formulamos en la STC 35/2014, de 27 de febrero, a cuyo contenido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