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22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día 29 de junio de 2011, doña Ángeles Vegas Ballesteros, Procuradora de los Tribunales y de don Pedro Antonio Seco Martínez, interpuso recurso de amparo contra la Sentencia de la Sala de lo Penal del Tribunal Supremo de 3 de mayo de 2011, dictada en recurso de casación contra Auto de la Audiencia Provincial de Albacete sobre la determinación de su fecha de licenciamiento.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Acordada la admisión a trámite por la Sala Primera de este Tribunal mediante providencia de 26 de marzo de 2012, la Audiencia Provincial remitió Auto de 14 de noviembre de 2013 por el que se acordó la puesta en libertad de la recurrente. La Sala, por providencia de 16 de diciembre de 2013, acordó conceder un plazo de cinco días a las partes personadas para que, en virtud del art. 84 de la Ley Orgánica del Tribunal Constitucional, alegaran lo que estimaran conveniente sobre la perdida de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presentó alegaciones mediante escrito registrado el 23 de diciembre de 2013, en el que consideró que el Tribunal debería entrar al fondo de la pretensión ejercitada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la acusación particular en el proceso a quo manifestó en escrito de 24 de diciembre de 2014 su no oposición a la declaración de pérdida de objeto del proceso, quejándose de la tardanza en la resolución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mediante escrito de 14 de enero de 2014, tampoco se opuso a tal declaración.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la vista de la manifestación efectuada por la representación procesal del recurrente, se acordó otorgar un plazo de diez días a las partes personadas para que alegaran lo que a su derecho conviniera. Solamente el Ministerio Fiscal cumplimentó tal trámite, reiterando, mediante escrito de 10 de marzo de 2014, sus anteriores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reiterada doctrina (por todos, ATC 6/2013, de 14 de enero, que a su vez cita los AATC 43/1985, de 23 de enero; 243/2007, de 21 de mayo; 285/2008, de 22 de septiembre, y 287/2008, de 22 de septiembre), la desaparición sobrevenida del objeto es una de las formas de terminación del proceso constitucional iniciado por el recurso de amparo, cuando las circunstancias sobrevenidas con posterioridad a la presentación de la demanda hacen innecesario un pronunciamiento del Tribunal Constitucional al haberse modificado de manera sustancial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“como hemos declarado reiteradamente —así, STC 118/2007, de 21 de mayo, FJ 2— la desaparición sobrevenida del objeto del proceso, aun cuando no contemplada expresamente en el art. 86.1 LOTC, ha sido admitida por este Tribunal como forma de terminación de los distintos procesos constitucionales. En particular y en lo que ahora importa, es lo que sucede en los casos en los que, en el procedimiento que dio origen al recurso de amparo, los propios órganos judiciales han reparado las lesiones del derecho invocado en sede constitucional, (SSTC 305/2000, de 11 de diciembre, FJ 9; 13/2005, de 31 de enero, FJ 2; y ATC 30/2004, de 9 de febrero, FJ 3). De modo que, en estos supuestos, la demanda de amparo deja de tener objeto, toda vez que la reparación de la lesión del derecho fundamental por los propios órganos judiciales, antes de que este Tribunal dicte su decisión, priva de sentido al pronunciamiento sobre una vulneración ya inexistente, salvo que, como también hemos afirmado, a pesar de haber desaparecido formalmente el acto lesivo, debieran tenerse en cuenta otros elementos de juicio que continuaran haciendo precisa nuestra respuesta (SSTC 84/2006, de 27 de mayo, FJ 2; y 128/2006, de 24 de abril, FJ 2).” (STC 133/2007, de 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supuestos podemos recordar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ha desaparecido la causa origen del proceso de amparo (así, SSTC 40/1982, de 30 de junio, 32/1982, de 7 de junio, 151/1990, de 4 de octubre, 139/1992, de 13 de octubre, 57/1993, de 15 de febrero, 87/1996, de 21 de mayo, 257/2000, de 30 de octubre, y AATC 56/1983, de 16 de febrero, 287/1984, de 16 de mayo, 43/1985, de 23 de enero, 945/1985, de 19 de diciembre, 258/1992, de 14 de septiembre), no cabe sino concluir, en principio, que éste carece desde ese momento de objeto sobre el que deba pronunciarse este Tribunal (por todos, ATC 156/2003, de 19 de mayo, FJ 5).” (ATC 286/2006, de 24 de julio, FJ 2). En todo caso conviene advertir que es preciso excluir todo automatismo en la respuesta, por lo que habrá que atender a las circunstancias particulares que concurren en cada caso (STC 305/2000, de 11 de diciembre,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examen de los autos se desprende que por Auto de la Audiencia Provincial de Albacete de 14 de noviembre de 2013 se resolvió hacer extensiva la aplicación de la Sentencia del Tribunal Europeo de Derechos Humanos de 21 de octubre de 2013, por la similitud existente con las pretensiones del demandante de amparo. Y en consecuencia tomar como referencia el tope máximo de treinta años, para, a partir de él, hacer los descuentos que correspondan por redenciones, y acordar la libertad de la recurrente. En dicho Auto se acordó la inmediata puesta en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reconocía que las redenciones debían ser abonadas del tope máximo de treinta años. Precisamente esa fue la pretensión que el demandante sostuvo en su recurso de amparo. Habiéndose decretado la puesta en libertad del recurrente, de conformidad con lo dispuesto en los arts. 80 y 86.1 de la Ley Orgánica del Tribunal Constitucional (LOTC), en relación con el art. 22 de la Ley de enjuiciamiento civil, procede declarar la pérdida de objeto del presente recurso, en tanto que la continuación del proceso no satisface ningún interés.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por la pérdida de objeto del amparo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