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180</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providencia de la Sección Primera de Sala de lo Contencioso-Administrativo del Tribunal Supremo dictada el 3 de febrero de 2014 en el recurso de casación núm. 1022-2013 que declaraba la inadmisión del incidente de nulidad de actuaciones interpuesto contra el Auto de 24 de octubre de 2013 que inadmitió el recurso de casación interpuesto contra la Sentencia de la Sala de lo Contencioso-Administrativo de la Audiencia Nacional recaída en recurso 126-2010.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 de julio de 2014 el Magistrado don Ricardo Enríquez Sancho comunicó a los efectos oportunos que se abstenía de intervenir en el antes indicado recurso de amparo, de conformidad con el art. 80 de la Ley Orgánica del Tribunal Constitucional, por haber formado parte de la Sección Primera de la Sala de lo Contencioso-Administrativo del Tribunal Supremo, que dictó el Auto de 24 de octubre de 2013 en el recurso de casación núm.1022-2013, resolución de la que trae causa la recurrida en el presente recurso de amparo núm. 1374-2014.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Sala del Tribunal Constitucional, la Sala,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de lo Contencioso-Administrativo del Tribunal Supremo que dictó el Auto de 24 de octubre de 2013 en el recurso de casación núm. 1022-2013, resolución de la que trae causa la providencia de 3 de febrero de 2014 que ha sido impugnada en el presente recurso de amparo núm.1374-2014.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núm.1374-2014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