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185</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8 de julio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16 de enero de 2014, doña Raquel Lora Peón, representada por la Procuradora de los Tribunales doña Susana Gómez Castaño y asistida por el Letrado don Javier Garicano Añíbarro, interpuso recurso de amparo contra la Sentencia de fecha 14 de octubre de 2013, dictada en el recurso de apelación número 594-2013 por la Sección Cuarta de la Audiencia Provincial de Valladolid y Auto de 28 de noviembre de 2013. La demanda de amparo solicita que se dicte Sentencia declarando que se ha vulnerado el derecho de la recurrente a un proceso con todas las garantías, a la presunción de inocencia, a ser informada de la acusación y defensa, al Juez imparcial, al uso de medios de prueba pertinentes para su defensa y a la tutela judicial efectiva, y que se anulen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otrosí en el escrito de demanda, y de conformidad a lo dispuesto en el art. 56 de la Ley Orgánica del Tribunal Constitucional (LOTC), la recurrente solicitó la suspensión de la resolución impugnada. Alegaba, en síntesis, que la no suspensión de las resoluciones recurridas, le provocaría un perjuicio que haría perder al amparo su finalidad y que le impediría ejercer y permanecer en las listas como Juez o Fiscal sustituta, por ser un requisito necesario el de carecer de antecedentes penales.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de este Tribunal acordó la admisión a trámite de la demanda de amparo y formar la correspondiente pieza separada de suspensión y, de conformidad con lo previsto en el art. 56 LOTC, conceder un plazo común de tres días al Ministerio Fiscal y a la parte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alegaciones, presentado el 18 de junio de 2014, el Ministerio Fiscal interesa la denegación de la suspensión de la resolución recurrida en la demanda de amparo y en síntesis, mantiene los siguientes criterios: i) en cuanto a la pena de privación del derecho a conducir vehículos de motor y ciclomotores, la recurrente invoca genéricamente un perjuicio sin aportar las circunstancias concretas que justificarían su condición de irreparable y que la invocación de su condición profesional no está en conexión con la pena que se pretende suspender; y ii) en cuanto a la suspensión de la ejecución de las penas pecuniarias, no se cumple un mínimo esfuerzo de justificación.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la recurrente presentó escrito el 20 de junio de 2014, en el que se ratifica en la petición de suspensión solicitada en su día, alegando que no se trata de un delito grave, que no existen víctimas a las que proteger ni riesgo de eludir la acción de la justicia, y que la ejecución le supondría un grave quebranto por no poder seguir desempeñando su puesto de trabajo en la Fiscalía al tener antecedentes penales.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facultad de este Tribunal Constitucional de adoptar medidas cautelares en los procesos de amparo, reconocida en el art. 56 de la Ley Orgánica del Tribunal Constitucional,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la demandante de amparo fue condenada en grado de apelación por la Sección Cuarta de la Audiencia Provincial de Valladolid, en Sentencia de 14 de octubre de 2013, como autora responsable de un delito contra la seguridad vial (art. 379.2, inciso primero, del Código penal), a la pena de seis meses de multa, y un año y un día de privación del permiso de conducir vehículos a motor y ciclomotores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solicitud de suspensión se plantean dos cuestiones: i) la procedencia de la suspensión de la ejecución de las penas impuestas; y ii) la procedencia de la suspensión de la inscripción de la Sentencia en el Registro Central de Penados y Rebeldes para evitar la pérdida de su 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a la suspensión de la ejecución de las penas impuestas, y respecto de la pena de privación del derecho a conducir, este Tribunal ha acordado la suspensión cuando el demandante alega y acredita un perjuicio específico dada su condición profesional de conductor (ATC 242/2000, de 16 de octubre), o de repartidor (ATC 361/2003, de 10 de noviembre), o dadas sus condiciones laborales —la ausencia de transporte público para acceder al lugar de trabajo— (ATC 53/1999, de 8 de marzo), y, por el contrario, la ha negado ante la falta de acreditación de tales específicos perjuicios irreparables (AATC 30/1999, de 8 de febrero, 182/2001, de 2 de julio, y 258/2004, de 12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que estamos examinando, la demandante de amparo no acredita que la denegación de la suspensión de la pena de privación del derecho a conducir vehículos a motor y ciclomotores le ocasione un especial perjuicio derivado de sus circunstancias personales o profesionales conectadas al derecho objeto de privación, sino que se refiere de forma genérica a los perjuicios que derivarían del cumplimiento total de la pena antes de que este Tribunal resuelva el recurso de amparo y, especialmente, al efecto impeditivo que tendría la condena en relación al desempeño del puesto de Fiscal sustituta que ha venido ocupando, extremo éste conectado con la pretensión cautelar sobre la anotación del antecedente penal que será analizado posteriormente.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y en cuanto a las penas pecuniarias, hemos señalado que, por más que puedan producir efectos desfavorables a quien solicita amparo, no pueden considerarse, en principio, causa suficiente para acordar la suspensión de una resolución judicial firme, pues dichos perjuicios son susceptibles de ser reparados en la hipótesis de que la pretensión de amparo sea estimada, de modo que no conllevan un perjuicio irremediable al obligado al pago que pueda hacer perder la finalidad del recurso de amparo (AATC 82/2000, de 13 de marzo, FJ 2; 165/2003, de 19 de mayo, FJ 2; 357/2006, de 9 de octubre, FJ 2; 118/2008, de 28 de abril, FJ 2; y 3/2011, de 14 de febrero, FJ 1,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Sólo en el caso de que la parte recurrente en amparo justificase cumplidamente que el no otorgamiento de la suspensión le ocasionaría un perjuicio irreparable que haría perder al amparo su finalidad procedería acordar la suspensión de la ejecución de la resolución impugnada en amparo y en este supuesto no se produce, puesto que no existe una mínima justificación de que se pueden producirse perjuicios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suspensión de la inscripción de la Sentencia en el Registro Central de Penados y Rebeldes, este Tribunal ha reiterado que cuando el amparo constitucional se solicita respecto de resoluciones judiciales firmes, la suspensión de su ejecución entraña siempre en sí misma una perturbación de la función jurisdiccional que comprende la potestad de hacer ejecutar lo juzgado (art. 117.3 CE), por lo que esta medida cautelar resulta pertinente únicamente cuando la ejecución del fallo cause a la parte solicitante de amparo un perjuicio irreparable, debiendo entenderse por tal aquel que provoque que el restablecimiento del recurrente en los derechos fundamentales cuya vulneración denuncia sea tardío e impida definitivamente que la restauración sea efectiva (AATC 124/2012, de 18 de junio, FJ 1; y 250/2013, de 4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a las solicitudes de suspensión de anotación de antecedentes en el Registro Central de Penados y Rebeldes, en el ATC 36/2003, de 30 de enero, FJ 6, se declaraba que la anotación de los antecedentes penales es una consecuencia jurídica inherente a la Sentencia condenatoria en cuanto tal, con independencia del cumplimiento o no, en virtud de la medida cautelar de suspensión, de las penas impuestas en aquella; por lo que acceder a dicha suspensión sería tanto como anticipar, por vía de la medida cautelar, una eventual nulidad de la Sentencia que comportase la eliminación de dicho efecto jurídico, máxime cuando toda medida cautelar no prejuzga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precedentes conducen a denegar la suspensión interesada.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interesada en el recurso de amparo núm. 293-2014 promovido por doña Raquel Lora Peón.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julio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