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9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12 de diciembre de 2013 dictado por la Sección Primera de la Sala Tercera de lo Contencioso-Administrativo del Tribunal Supremo en el recurso de casación núm. 1856-2013 interpuesto contra Sentencia de 10 de abril de 2013 dictada por la Sección Sexta de la Sala de lo Contencioso-Administrativo de la Audiencia Nacional en el recurso núm. 422-2011.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8 de septiembre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 lo Contencioso-Administrativo del Tribunal Supremo que dictó el Auto de 12 de diciembre de 2013 resolución impugnada en el presente recurso de amparo núm. 2654-2014.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 lo Contencioso-administrativo del Tribunal Supremo que dictó el Auto de 12 de diciembre de 2013 resolución que ha sido impugnada en el presente recurso de amparo núm. 2654-2014.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2654-2014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