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la Sala de lo Contencioso-Administrativo del Tribunal Supremo, de 1 de marzo de 2012, por el que se inadmitió el recurso de casación núm. 4824-2011, promovido a su vez contra la Sentencia de 29 de junio de 2011, de la Sección Sexta de la Sala de lo Contencioso-Administrativo de la Audiencia Nacional, recaída en el recurso núm. 578-2010.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noviembre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 de marzo de 2012, resolución impugnada en el presente recurso de amparo número 4503-2012.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Segunda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 de marzo de 2012, en el recurso de casación número núm. 4824-2011,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número 4503-2012,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