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15 de enero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providencia y Auto de la Sala de lo Contencioso-Administrativo del Tribunal Supremo en recurso de casación 4763-2011, contra la Sentencia dictada por la Sección Segunda de la Sala de lo Contencioso-Administrativo del Tribunal Superior de Justicia de Canarias en recurso núm. 251-2009.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13 de enero de 2015,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15 de marzo de 2012, resolución impugnada en el presente recurso de amparo núm. 5987-2012.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Segunda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15 de marzo de 2012, en el recurso de casación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número 5987-2012,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