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19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21 de enero de 2013 dictada por la Sección Séptima de la Sala Tercera de lo Contencioso-Administrativo del Tribunal Supremo en el recurso de casación núm. 6191-2011 interpuesto contra Sentencia de 2 de noviembre de 2011 dictada por la Sección Primera de la Sala de lo Contencioso-Administrativo del Tribunal Superior de Justicia de Andalucía en el recurso núm. 414-2011.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19 de enero de 2015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6191-2011 del que trae causa el presente recurso de amparo núm. 1651-2013.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6191-2011 seguido en la Sección Séptima de la Sala Tercera de lo Contencioso-Administrativo del Tribunal Supremo que dictó la Sentencia de 21 de enero 2013, resolución que ha sido impugnada en el presente recurso de amparo núm. 1651-2013.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1651-2013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