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13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4592-2012, promovido por BMC SOFTWARE DISTRIBUTION BV, representado por la Procuradora de los Tribunales doña Inés Tascón Herrero y asistido por la Abogada doña Ana Martínez Gutiérrez, contra el Auto de la Sección Primera de la Sala de lo Contencioso-Administrativo del Tribunal Supremo de 1 de diciembre de 2011, que declaró la inadmisión del recurso de casación núm. 99-2011, y contra el Auto de 24 de mayo de 2012 que desestimó el incidente de nulidad de actuaciones promovido contra aquél. Ha comparecido y formulado alegaciones el Abogado del Estado, en la representación que ostenta, y ha intervenido el Ministerio Fiscal. Ha sido Ponente la Magistrada doña Encarnación Roca Trias,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julio de 2012 tuvo entrada en el Registro General de este Tribunal, escrito presentado por la Procuradora de los Tribunales doña María Luisa Sánchez Quero, actuando en nombre y representación de BMC Software Distribution BV, y bajo la dirección letrada de la Abogada doña Ana Martínez Gutiérrez, mediante el que interpuso recurso de amparo contra las resoluciones judiciales que se mencionan en el encabezamiento. Por escrito de 25 de febrero de 2015, se comunicó a este Tribunal el cambio de representación actuando como Procuradora doña Inés Tascón Herrero.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lo que a este recurso de amparo interesa,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demandante de amparo, mediante escrito registrado el 16 de diciembre de 2010, preparó recurso de casación frente a la Sentencia dictada por la Sala de lo Contencioso-Administrativo de la Audiencia Nacional (Sección Segunda), de fecha 25 de noviembre de 2010, que estimaba en parte el recurso contencioso-administrativo por ella interpuesto, contra la resolución del Tribunal Económico-Administrativo Central de fecha de 31 de mayo de 2007, sobre liquidación del impuesto sobre sociedades en relación con los ejercicios 1996 a 1998, ambos inclusive. En el citado escrito, la sociedad recurrente puso de manifiesto la intención de interponer recurso de casación, la legitimación de la parte recurrente, el cumplimiento del plazo para la presentación del escrito y el carácter recurrible de la resolución impugnada. A ello añadió la precisión de que el recurso iba a fundarse en los motivos previstos en los apartados c) y d) del art. 88.1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y por escrito registrado el 3 de diciembre de 2010, se preparó recurso de casación por el Abogado del Estado. Ambos recursos fueron tenidos por preparados por diligencia de ordenación de la Sala de lo Contencioso-Administrativo de la Audiencia Nacional dictada el 20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febrero de 2011, la demandante de amparo formuló recurso de casación ante el Tribunal Supremo. Asimismo, mediante escrito presentado el 31 de enero de 2011 se formuló recurso de casación por la Administración del Estado, recurso en el que la demandante se personó como recurrida. Ambos recursos fueron registrados con el núm. 99-2011.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30 de marzo de 2011, la recurrente presentó escrito ante la Sala de lo Contencioso-Administrativo de la Audiencia Nacional en el que ponía de manifiesto que habiendo tenido conocimiento del Auto dictado por la Sala de lo Contencioso-Administrativo del Tribunal Supremo (en adelante, ATS), de 10 de febrero de 2011 (rec. núm. 2927-2010) —que, según señala, en la fecha de presentación del escrito no le constaba hubiera sido publicado en la base de datos oficial del Consejo General del Poder Judicial— por el que se modificaba su doctrina relativa a los requisitos exigibles para la preparación del recurso de casación formulado contra sentencias y autos dictados por la Audiencia Nacional, procedía a adecuar el escrito de preparación a la nueva doctrina mantenida por el Tribunal Supremo en la materia citada, con la advertencia de que “[d]icha adecuación se realiza, obviamente, para el caso de que dicha doctrina sea mantenida por el Alto Tribunal y, en el caso de que así sea, considere que la misma resulta de aplicación incluso a los recursos de casación que hayan sido preparados con anterioridad a hacerse público el mencionado Auto”. Termina solicitando que teniendo por presentado el citado escrito y por efectuadas las manifestaciones realizadas, se tuviera por adecuado el escrito de preparación de casación formulado, y, previos los trámites legales que procediesen, se remitiera el escrito al Tribunal Supremo para su unión al recurso de casación núm. 8-99-2011 interpuesto frente 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21 de junio de 2011 de la Sala Tercera del Tribunal Supremo, se tuvo por recibido el anterior escrito presentado en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19 de mayo de 2011 se dictó providencia por la que la Sala Tercera del Tribunal Supremo, tanto respecto del recurso de casación interpuesto por la Administración General del Estado como por BMC Software Distribution BV, puso de manifiesto a las partes para alegaciones la posible concurrencia de la causa de inadmisión, consistente en: “no haber anunciado en el escrito de preparación del recurso de casación, las correspondientes infracciones normativas o jurisprudenciales que se desarrollarán en el escrito de interposición (artículos 88.1, 89.1 y 93.2 a de la LRJCA, y Auto de la Sala de 10 de febrero de 2011, dictado en recurso de casación 2927/2010)”. En cumplimiento de dicho trámite, tanto el Abogado del Estado como la mercantil recurrente formalizaron sus escritos, registrados el 27 de mayo de 2011 y el 6 de junio de 2011, respectivamente, en los que se defiende la procedencia de la admisión de sus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 de diciembre de 2011, la Sala Tercera del Tribunal Supremo (Sección Primera) declaró la inadmisión de los recursos de casación interpuestos por el Abogado del Estado y por la sociedad demandante. La Sala se remitió a los AATS de 10 de febrero, 12 de mayo y 16 de junio, todos de 2011, para terminar concluyendo que los recursos de casación resultan inadmisibles por no cumplirse los requisitos exigidos en los arts. 89.2 y 93.2 a) LJCA. En concreto, en el caso de la mercantil actora, por no citar en su escrito de preparación “las concretas infracciones normativas o jurisprudenciales que se reputan infringidas, refiriéndose únicamente a que el recurso se fundamenta en los motivos previstos en los apartados c) y d) del artículo 88.1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síntesis, “que la doctrina relativa a las exigencias predicables del escrito de preparación del recurso de casación, en lo que atañe a la cita de las infracciones normativas o jurisprudenciales que se pretendan denunciar y desarrollar en el escrito de interposición, aunque fuere de forma sucinta, se sustenta en una concepción que enfatiza la relevancia de la fase de preparación como un trámite con sustantividad propia que no constituye un mero formalismo carente de trascendencia y persigue garantizar que la parte recurrida cuente con la información necesaria desde aquella fase para adoptar la posición procesal que estime pertinente”. En consecuencia, la Sala sostiene, después de hacer referencia a varias Sentencias de este Tribunal, la posibilidad de inadmitir un recurso de casación por un criterio interpretativo posterior al momento de presentación del escrito de preparación del recurso, acogiéndose al “mínimo efecto retroactivo”. Estima que “[e]n caso contrario, quedaría petrificada la nueva interpretación jurisprudencial a aquellos escritos de interposición de recursos que fueron presentados debidamente ante los Tribunales de Justicia a partir del momento del ‘anuncio’ del cambio de criterio, ‘anunció’ que no están obligados los órganos jurisdiccionales, tal y como tiene asentada la doctrina constitucional referida”. Asimismo, considera que hay que tener en cuenta que “una resolución judicial que incorpora un cambio de criterio jurisprudencial y cuya eficacia fuese meramente prospectiva sería un mero obiter dictum, amén de que se frustraría la finalidad del proceso porque la resolución no afectaría a las partes”, y que “[e]l único límite temporal al que se limitan los cambios de criterio jurisprudenciales, de conformidad con la doctrina del Tribunal Constitucional, es a las situaciones jurídicas que gozan de la protección de cosa juzgada”. Añade a lo dicho que no puede ser acogida la pretendida adecuación del escrito de preparación en momento distinto al contemplado en el art. 89.1 LJCA, “pues la primera fase de preparación del recurso de casación no se configuran en el sistema de la Ley Jurisdiccional como un mero formalismo carente de mayor trascendencia, sino más bien como un trámite que adquiere sustantividad propia, en cuanto ha sido establecido por el legislador con la evidente finalidad de permitir al mismo Tribunal que ha dictado la resolución judicial efectuar un primer juicio sobre la procedencia del recurso y constatar si se dan las condiciones previstas en la Ley de la Jurisdicción para darle trámite y remitir lo actuado ante el Tribunal Supremo; y con el propósito de proporcionar a la parte recurrida información acerca de los motivos en que se fundamentará el recurso de casación”. A su juicio, es “obvio” que dicha finalidad “sólo puede cumplirse si la Sala a quo y las partes disponen de toda la información necesaria para formar criterio sobre tal cuestión; de ahí que sea carga de interesado en recurrir en casación proporcionar ya en el escrito de preparación los datos indispensables para comprobar el cumplimiento de esos requisitos, sin que, por lo demás, esta carga procesal que sólo al recurrente afecta, puede ser cumplida o completada en momento distinto recogido en el citado artículo y en perjuicio de la parte procesal enfrentada a quien pretende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10 de febrero de 2012, la ahora demandante de amparo presentó escrito promoviendo incidente de nulidad de actuaciones en el que, con una muy extensa argumentación, alegó la vulneración de los arts. 14 y 24 CE. En el escrito se alegaba, en resumen, que el Tribunal Supremo había modificado de manera arbitraria y sin motivación, su jurisprudencia sobre los requisitos del escrito de preparación del recurso de casación formulados contra sentencias y autos dictados por la Audiencia Nacional, exigiendo uno no contemplado en la Ley y aplicándolo a escritos presentados con anterioridad a la adopción del nuevo criterio, con vulneración de la doctrina del Tribunal Constitucional en materia de subsanación de defectos procesales. Aduce también, en relación con la vulneración del art. 14 CE, que con posterioridad al ATS de 10 de febrero de 2011, la misma Sección de la Sala dictó resoluciones contrarias a esta nueva jurisprudencia, retomando el criterio anterior que exigía sólo la mención de los motivos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24 de mayo de 2012 se desestimó el incidente de nulidad de actuaciones promovido contra el Auto anterior. La Sala aprecia que el incidente planteado se limita, en lo fundamental, a discrepar con la declaración de inadmisión del recurso de casación por ella efectuada y con los razonamientos jurídicos que fundan dicho pronunciamiento, “utilizando el incidente de nulidad actuaciones como si de un recurso de súplica se tratara, pretendiendo someter a crítica la bondad jurídica de una resolución judicial que es firme ex lege —art. 93.6 LRJCA—”, cuando, en lo sustancial, las alegaciones han recibido una respuesta motivada en el Auto de 1 de diciembre de 2011. A lo dicho añade que conviene recordar que el derecho a la tutela judicial efectiva (art. 24.1 CE), es un derecho prestacional de configuración legal, cuyo ejercicio y prestación “están supeditados a la concurrencia de los presupuestos y requisitos que, en cada caso, haya establecido el legislador”, que “también se satisface con la obtención de una resolución de inadmisión … si esta decisión se funda en la existencia de una causa legal que así lo justifique”. Señala al respecto que debe tenerse presente que “resulta doctrina reiterada de esta Sala la de que no se quebranta dicho derecho porque un proceso contencioso-administrativo quede resuelto en única instancia”. Por otra parte, y en relación con las posibilidades de subsanación de los defectos formales, considera que el incumplimiento de la carga que a la parte recurrente impone el art. 89.1 LJCA, supone un vicio sustancial que afecta al contenido mismo de la actuación procesal de parte y no un simple defecto de forma que admita su subsanación de conformidad con el art. 138 LJCA (al respecto, se remite a la STC 265/2005).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basa su recurso de amparo en la vulneración de sus derechos a la igualdad en la aplicación de la ley (art. 14 CE) y a la tutela judicial efectiva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mercantil recurrente parte de que la exigencia de la anticipación al trámite de preparación de la cita de los concretos preceptos o la jurisprudencia que se reputan infringidos carece de cobertura legal en LJCA, pues dicho requisito sólo se exige en el supuesto concreto del art. 89.2 LJCA, relativo a la impugnación de las resoluciones dictadas por los Tribunales Superiores de Justicia. De acuerdo con los arts. 89.1 y 92.1 LJCA, cuando las resoluciones recurridas proceden de la Audiencia Nacional, la cita de las normas y la jurisprudencia infringidas se debe producir en el escrito de interposición del recurso. Defiende, por ello, que el ATS de 1 de diciembre de 2011, objeto del presente recurso amparo, no sólo ha inadmitido el recurso de casación en aplicación de un requisito no contemplado en la Ley, sino que dicho requisito ha sido aplicado de forma sorpresiva e inesperada como consecuencia del cambio jurisprudencial acaecido con el ATS de 10 de febrero de 2011 (recurso núm. 2927-2010), que considera arbitrario y no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en síntesis, que “habiendo preparado un recurso de casación cumpliendo escrupulosamente con la Ley y, especialmente, con la Jurisprudencia que la interpretaba en aquel momento, ha visto, sin embargo, inadmitido su recurso por un cambio jurisprudencial posterior, carente de cualquier fundamento legal, no justificado y que, aplicado con carácter retroactivo, ha hecho que, sin género de duda … se haya vulnerado de manera flagrante su derecho a la tutela judicial efectiva en su vertiente de acceso a los recursos (artículo 24 CE), así como su derecho a la igualdad, en su vertiente de igualdad en la aplicación judicial de la Ley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son extensamente desarrolladas en la demanda de amparo con amplia cita jurisprudencial tanto del Tribunal Constitucional como del Tribunal Supremo. Respecto de la alegada vulneración del derecho a la igualdad en la aplicación de la ley (art. 14 CE), la demandante de amparo argumenta que el cambio jurisprudencial que lleva a cabo el Auto impugnado supone una flagrante vulneración del citado derecho, pues se presenta como irrazonado o arbitrario, por no haber justificado los motivos jurídicos que amparan el cambio de criterio; irrazonable, especialmente teniendo en cuenta que se pretende su aplicación con efectos ex tunc; y sin vocación de permanencia, en la medida en que existen autos y sentencias posteriores al ATS de 10 de febrero de 2011 en los que no se ha exigido por parte de la Sala Tercera del Tribunal Supremo (Sección Primera), el referido requisito de concretar en el escrito de preparación del recurso de casación interpuesto contra sentencias de la Audiencia Nacional, la norma o jurisprudencia que se considera infringida. Además, defiende que concurren las exigencias constitucionales precisas para fundamentar que se ha producido una efectiva vulneración del derecho de igualdad en aplicación de la ley (art. 14 CE), en cuanto se acredita un tertium comparationis válido (identidad del órgano judicial que dicta la resolución, identidad fáctica del supuesto a resolver, alteridad y ausencia de motivación para operar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vulneración del derecho a la tutela judicial efectiva (art. 24.1 CE), en su vertiente de acceso al recurso, la sociedad recurrente considera que la decisión adoptada por la Sección Primera de la Sala Tercera, carece de cualquier cobertura legal dado que no se contiene ni se deduce de la Ley jurisdiccional; antes bien, resulta abiertamente contraria a la misma e, incluso, a la jurisprudencia del Tribunal Supremo relativa a los requisitos predicables de los escritos de preparación de recursos de casación, así como a la delimitación del concepto “requisitos de forma” realizada por el Tribunal Constitucional. Añade que la vulneración se produce, igualmente, por la aplicación retroactiva de un nuevo criterio jurisprudencial y por la indefensión que provoca tanto la falta de ofrecimiento para remediarlo, como la decisión de no acceder a la subsanación de los defectos de que pudiera adolecer el escrito de preparación en el plazo concedido al efecto, en tanto que se le están exigiendo requisitos que no estaban en vigor al tiempo de presentarse el escrito de preparación, que no están recogidos en la Ley y, además, que no habían sido identificados como tales requisitos por la jurisprudencia del Tribunal Supremo en su consolidada doctrina configurada a lo largo de más de 12 años. A su juicio, la Sala Tercera debió tener en consideración su diligente proceder que demostró al aportar el escrito de fecha de 30 de marzo de 2011 de adecuación a las nuevas exigencias previstas en el ATS de 10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2013, la Sala Primera del Tribunal Constitucional, de conformidad con lo dispuesto en el art. 11.2 de la Ley Orgánica del Tribunal Constitucional (LOTC), acuerda conocer del presente recurso de amparo y admitir a trámite la demanda presentada. Asimismo, en aplicación de lo dispuesto en el art. 51 LOTC, acordó dirigir atenta comunicación a la Sección Primera de la Sala de lo Contencioso-Administrativo del Tribunal Supremo y a la Sección Segunda de la Sala de lo Contencioso-Administrativo de la Audiencia Nacional a fin de que, en el plazo de diez días, remitieran certificación o fotocopia adverada de las actuaciones correspondientes a los recursos núms. 99-2011 y 329-2007,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junio de 2013, el Abogado del Estado presentó escrito ante este Tribunal suplicando que, con la admisión del mismo, se le tenga, en la representación que ostenta, por personado y parte en el presente recurso de amparo, señalando que se entiendan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de 11 de septiembre 2013, se tuvieron por recibidos los testimonios de las actuaciones remitidos por la Sala Tercera de lo Contencioso-Administrativo del Tribunal Supremo y por la Sección Segunda de la Sala de igual orden de la Audiencia Nacional, y el escrito del Abogado del Estado a quien se tuvo por personado y parte en representación de la Administración pública. Y, a tenor de lo dispuesto en el art. 52 LOTC, por un plazo común de veinte días, se dio vista de las actuaciones,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4 de octubre de 2013, la demandante de amparo presentó escrito de alegaciones remitiéndose al escrito de demanda de amparo que dio inicio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17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hecho, el Fiscal inicia su argumentación haciendo referencia a las vulneraciones aducidas por la recurrente y a la jurisprudencia elaborada por el Tribunal Constitucional sobre las mismas. Considera que procede comenzar por el motivo de amparo relativo a la vulneración del derecho a la igualdad en la aplicación de la ley (art. 14 CE), pues de prosperar, carecería de sentido efectuar una consideración autónoma sobre la infracción del derecho a la tutela judicial efectiva (art. 24.1 CE), en la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realiza, en primer lugar, una “recapitulación fáctica” de la jurisprudencia del Tribunal Supremo relativa a los requisitos exigibles al escrito de preparación del recurso de casación, que inicia con el ATS 14419/2010, de 14 de octubre (recurso núm. 951-2010). Finalizada ésta, procede al examen de la alegada vulneración del art. 14 CE y que siendo evidente la existencia de un cambio de criterio en la Sección Primera de la Sala de lo Contencioso-Administrativo del Tribunal Supremo, el problema radica en que la exigencia del ATS de 10 de febrero de 2011, relativa a la obligatoriedad de indicar en la fase de preparación del recurso de casación no sólo el concreto o concretos motivos en que se fundará el recurso, sino también los concretos preceptos o jurisprudencia que se reputan infringidos o el contenido de las infracciones normativas o jurisprudenciales que se pretendan denunciar y desarrollar en el escrito de interposición del recurso de casación, cuando se interponen recursos de casación frente a resoluciones dictadas por la Audiencia Nacional, no ha sido seguida de modo unánime por ésta. Lo que, a su juicio, pone en duda que la solución concretada en el citado Auto tuviera una verdadera voluntad de permanencia por responder a una interpretación abstracta y general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comprobar la existencia de la alegada vulneración del principio de igualdad en aplicación de la ley (art. 14 CE), el Ministerio Fiscal destaca que la parte recurrente ha aportado un término válido de comparación para argumentar la misma, porque acompaña a su demanda el Auto impugnado en amparo y otros cuatro Autos dictados por la misma Sala y Sección y que siguen un criterio distinto al ATS de 10 de febrero de 2011 [AATS 1932/2011, de 17 febrero (recurso núm. 4600.2010); 4046/2011, de 24 marzo (recurso núm. 3896-2010); 3667/2011, de 17 marzo (recurso núm. 6250-2010), y 8516/2011, de 16 junio (recurso núm. 5151-2010)]. Igualmente considera que se ha cumplido en el presente caso con los requisitos de identidad de órgano judicial, alteridad y ausencia de referencia suficiente sobre la circunstancia de que esa misma Sección hubiera dictado previamente, pero vigente ya la doctrina fijada por el ATS de 10 febrero de 2011, los citados cuatro autos en sentido diferente al de aquél, como tampoco justificación explícita del cambio de criterio producido entre aquéllos y el Auto de que ahora se trata, lo cual, a su juicio, “parece inexcusable”.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interesa que se dicte sentencia por la que se declare que se ha vulnerado el derecho fundamental a la igualdad en la aplicación de la ley (art. 14 CE) de la demandante de amparo, y se la restablezca en su derecho y, a tales fines, se acuerde la nulidad del Auto de 1 de diciembre de 2011 por el que se inadmitió el recurso de casación, así como el Auto por el que se desestimó el incidente de nulidad actuaciones entablado contra aquel otro auto, retrotrayendo las actuaciones al momento procesal inmediatamente anterior al dictado del Auto de 1 de diciembre de 2011, para que se dicte una nueva resolución respetuosa con el derecho fundamental que ha de ser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11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inadmisión del recurso de casación contencioso-administrativo por defectos insubsanables del escrito de preparación, procede al análisis del art. 89.1 LJCA y, en especial, el contenido de la expresión “los requisitos de forma exigidos”. Estima, al respecto, que si bien desde el plano de la legalidad, es muy discutible la nueva exigencia jurisprudencial contenida en el ATS de 10 de febrero de 2011, la misma no puede calificarse ni de arbitraria ni irrazonable. Dicho esto, advierte que el auténtico problema constitucional que la demanda suscita, y en el que la parte tiene razón, radica en la “aplicación retrospectiva de las nuevas máximas jurisprudenciales” del citado Auto, no conocidas al tiempo de preparación del recurso de casación. Argumenta que “[l]a razonable expectativa o confianza legítima sobre la admisión de un recurso de casación preparado de acuerdo con los requisitos de forma exigidos por la jurisprudencia en el momento de presentar el escrito de preparación se ve sorpresivamente frustrada por la aplicación retrospectiva de las nuevas máximas jurisprudenciales sin dar oportunidad procesal ninguna de ajustar el escrito ya presentado a las nuevas exigencias”, lo cual provoca, no una violación del principio de seguridad jurídica (art. 9.3 CE), que no resulta protegido por el recurso de amparo, sino “una aplicación irrazonable, por contraria a la confianza legítima, de las nuevas máximas jurisprudenciales determinantes de la admisión o inadmisión del recurso de casación, que por ello se traducen en una violación del derecho de acceso al recurso”. Añade, que “[l]a razonabilidad se extiende no sólo la interpretación que se hace de la norma, sino la forma en que esa interpretación se aplica a los supuestos de hecho sujetos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Abogado del Estado apoya que se dicte una sentencia con arreglo a Derecho, en la que la doctrina que dicte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la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abril de 2015, se señaló para deliberación y fallo de la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 referirse a una causa de inadmisión sin cobertura legal y (b) porque es una exigencia que no era conocida ni predecible a tenor de la jurisprudencia aplicable en el momento en que se presentó el escrito de preparación, a pesar de lo cual se intentó su subsanación; y (ii)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invocaciones constitucionales en que se fundamenta este recurso ya han sido objeto de análisis por el Pleno de este Tribunal en la STC 7/2015,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lo expuesto en esa sentencia, debe desestimarse la alegada lesión del derecho a la tutela judicial efectiva (art. 24.1 CE) por falta de cobertura legal de la causa de inadmisión apreciada, ya que, tal como se argumentó extensamente en su fundamento jurídico 2,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lesión invocada del derecho a la igualdad en la aplicación de la ley. En el fundamento jurídico 4 de la Sentencia citada, ya se puso de manifiesto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que se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estimarse la vulneración del derecho a la tutela judicial efectiva (art. 24.1 CE) fundamentada en que, contrariamente al parámetro de racionalidad, la decisión de inadmisión impugnada no tomó en consideración que la exigencia del requisito controvertido, que no era conocido ni predecible para la parte recurrente en el momento en que se presentó el escrito de preparación, se intentó subsanar, una vez establecido este nuevo criterio jurisprudencial, mediante la presentación de un escrito complementario de adecuación a las nuevas exigencias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citada STC 7/2015, FJ 3, la efectividad del derecho a la tutela judicial efectiva requiere la anulación de la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BMC Software Distribution BV,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 de diciembre de 2011 y 24 de mayo de 2012, dictados en el recurso de casación núm. 99-2011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4592-2012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manifestó mi discrepancia con la fundamentación jurídica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los votos particulares formulados a la SSTC 7/2015, de 22 de enero, y 16/2015, de 16 de febrero, a los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