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3045-2012, promovido por las sociedades mercantiles Inmobiliaria Alozaima S.L., Grupo Acraba, S.L., E.S. El Moro, S.L., Estagas, S.L., y Grossen, S.A., representadas por el Procurador de los Tribunales don David García Riquelme y asistidas por los Abogados don Alfredo Hernández Pardo y doña Lourdes Ruiz Ezquerra, contra el Auto de la Sección Primera de la Sala de lo Contencioso-Administrativo del Tribunal Supremo, de fecha 29 de septiembre del 2011, que resolvió la inadmisión del recurso de casación núm. 677-2011, interpuesto por las sociedades demandantes de amparo, y contra el Auto de fecha 15 de marzo de 2012, que desestimó el incidente de nulidad de actuaciones deducido contra la resolución precedente. Ha comparecido el Abogado del Estado, en la representación que ostenta. También ha comparecido la mercantil Disa Península, S.L.U., representada por la Procuradora de Tribunales doña Teresa de las Alas- Pumariño Larrañaga y asistida por el Abogado don Rafael Allendesalazar. Ha intervenido el Ministerio Fiscal. Ha sido Ponente el Magistrado don Pedro José González Trevijano-Sánchez,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mayo de 2012 tuvo entrada en el Registro General de este Tribunal el escrito presentado por el Procurador de los Tribunales don David García Riquelme, en representación de las entidades mercantiles Inmobiliaria Alozaima, S.L., Grupo Acraba, S.L., E.S. El Moro, S.L., Estagas, S.L., y Grossen, S.A., y asistidas por los Abogados don Alfredo Hernández Pardo y doña Lourdes Ruiz Ezquerra,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demandantes de amparo (junto con otra que no ha comparecido en el presente recurso de amparo) interpusieron recurso contencioso-administrativo contra el acuerdo del Consejo de la Comisión Nacional de la Competencia (expediente 691 DISA), de fecha 27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núm.35-2008, la Sala de lo Contencioso-Administrativo de la Audiencia Nacional (Sección Sexta) dictó, en fecha 2 de diciembre de 2010, Sentencia desestimatoria de las pretensiones de las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10 de enero de 2011, las sociedades demandantes de amparo (junto con la otra entidad que no ha comparecido en el presente recurso) interesaron que se tuviera por preparado recurso de casación contra la Sentencia antes indicada. En dicho escrito pusieron de manifiesto la intención de interponer recurso de casación y, a su vez, indicaron que el recurso iba a fundarse en los motivos previstos en el art.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fecha 27 de enero de 2011, la Sala de lo Contencioso-Administrativo de la Audiencia Nacional tuvo por preparado el recurso de casación. Asimismo, dicho órgano acordó emplazar a las demandantes para que comparecieran ante la Sala Tercera del Tribunal Supremo. Una vez recibidas las actuaciones por el órgano ad quem, el día 16 de marzo de 2011 las entidades actoras interpusieron el recurso de casación ante la Sala Tercera del Tribunal Supremo. El recurso de casación fue registrado con el número 677-2011.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26 de abril de 2011, la Sala Tercera del Tribunal Supremo confirió traslado a las partes, a fin que formularan alegaciones sobre la posible concurrencia de causa de inadmisión, consistente en no haber citado en el escrito de preparación las infracciones normativas o jurisprudenciales que iban a desarrollarse en el escrito de interposición [arts. 88.1, 89.1 y 93.2 a) LJCA], conforme a lo establecido en el ATS de 10 de febrero de 2011, dictado en el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16 de mayo de 2011, las sociedades demandantes evacuaron el traslado conferido. En síntesis, pusieron de relieve cuál es, según su criterio, la finalidad del escrito de preparación del recurso de casación y qué requisitos de forma deben ser cumplimentados, entre los cuales no figura la obligación de indicar las infracciones legales o jurisprudenciales atribuidas a la Sentencia recurrida. Asimismo, indicaron que el ATS de fecha 10 de febrero de 2011 es de fecha posterior al escrito de preparación del recurso de casación, de manera que la nueva doctrina estatuida no puede ser aplicada a situaciones precedentes. Por todo ello, interesaron la admisión del recurso de casación, para así satisfacer el derecho al acceso a los recursos que les reconoce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29 de septiembre de 2011, la Sala Tercera del Tribunal Supremo (Sección Primera) acordó la inadmisión del recurso de casación. En apoyo de su decisión, la Sala se remitió a la doctrina establecida en ATS de 10 de febrero de 2011 y concluyó que, al no haberse citado en el escrito de preparación del recurso de casación las infracciones normativas o jurisprudenciales que iban a desarrollarse en el escrito de interposición, procedía la inadmisión del referido recurso. Respecto de la alegación de las demandantes, acerca de que la preparación del recurso de casación tuvo lugar con anterioridad al dictado del ATS de fecha 10 de febrero de 2011, la Sala consideró que, de acuerdo con la doctrina constitucional, los jueces y tribunales pueden modificar la interpretación precedente sobre determinados preceptos legales, con tal que el cambio de criterio sea razonado, en términos de Derecho, para que no resulte arbitrario ni sea fruto de un mero voluntarismo casuístico. Por tanto, la exigencia de igualdad y no arbitrariedad no puede traducirse en una petrificación de la jurisprudencia, de modo que cada órgano judicial quede rígidamente vinculado por sus propios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29 de noviembre de 2011, la sociedades recurrentes promovieron incidente de nulidad de actuaciones, en el cual, con una extensa argumentación, alegaron la vulneración del derecho a la igualdad en la aplicación judicial de la Ley (artículo 14 CE) y del derecho a la tutela judicial efectiva en su vertiente de acceso a los recursos (artículo 24.1 CE). Denunciaron, en resumen, que el Tribunal Supremo había introducido una modificación arbitraria e infundada respecto de los requisitos del escrito de preparación del recurso de casación contra Sentencias dictadas por la Audiencia Nacional, pues dicho cambio de criterio impone el cumplimiento de unas exigencias no contempladas en la ley y, además, se aplica a escritos de preparación presentados con anterioridad a que pudiera conocerse el nuevo criterio establecido. Finalmente, invocaron la quiebra del derecho a la igualdad en la aplicación judicial de la ley, puesto que otros recursos de casación fueron admitidos cumpliendo los mismos presupuestos formales que los seguidos por las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15 de marzo de 2012 fue desestimado el incidente de nulidad de actuaciones promovido contra el Auto de 10 de noviembre de 2011. En esencia, el órgano judicial considera que las demandantes se limitan a discrepar de las razones tenidas en consideración para inadmitir el recurso de casación, asimilando el incidente de nulidad a un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tales vulneraciones se asientan 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en cuya virtud se inadmitió el recurso de casación exige al recurrente anticipar, en el escrito de preparación del recurso de casación, los concretos preceptos o la jurisprudencia que se reputan infringidos. Dicha imposición carece de cobertura en la LJCA, puesto que ningún precepto de la citada norma así lo exige cuando se impugnan Sentencias dictadas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criterio sustentado en el referido Auto se ha aplicado con carácter retroactivo, pues no era conocido ni predecible al momento de preparar el recurso de casación. A este respecto, destaca la diferencia entre los cambios jurisprudenciales relativos a cuestiones sustantivas, que resuelven el fondo del asunto, y las modificaciones de criterio referidas a las normas sobre la admisibilidad de los recursos, las cuales no pueden ser exigidas una vez vencido el trámite sobre el que se proyecta el cambio de criterio, pues ello origina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modificación de criterio efectuado por la Sala Tercera del Tribunal Supremo comporta una quiebra del principio de igualdad en la aplicación de la ley, toda vez que otros recursos preparados siguiendo el mismo esquema fueron admitidos a trámite, por la aplicación de un criterio más benévolo para el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16 de septiembre de 2013, el Magistrado de este Tribunal don Juan José González Rivas solicitó se le tuviera por abstenido en el presente recurso, dada la concurrencia de la causa de abstención prevista en el art. 219.11 de la Ley Orgánica del Poder Judicial (LOPJ), de aplicación supletoria conforme a lo establecido en el art. 80 de la Ley Orgánica del Tribunal Constitucional (LOTC), habida cuenta de que formó parte de la Sección Primera de la Sala Tercera del Tribunal Supremo, órgano este que dictó el Auto de fecha 15 de marzo de 2012, que es objeto de impugnación en el presente recurso. Mediante escrito de fecha 30 de octubre de 2013, el referido Magistrado también comunicó haber formado parte de la referida Sección, que también dictó el Auto de inadmisión, de fecha 29 de septiembre de 2011, igualmente combatido en el presente recurso de amparo. Por Auto de fecha 23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 677-2011 y al recurso núm. 35-2008,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21 de noviembre de 2013, el Abogado del Estado, en la representación que le es propia, solicitó que se le tuviera por personado y parte en el presente recurso. Asimismo, por escrito de fecha 29 de abril de 2014, la sociedad Disa Península, S.L.U., quien había sido emplazada por la Sala de lo Contencioso-Administrativo de la Audiencia Nacional conforme a lo acordado en la providencia citada en el apartado anterior, solicitó que se la tuviera por comparecida en el presente recurso, bajo la representación del Procuradora de Tribunales doña Teresa de Alas-Pumariño Larrañaga y asistida por el abogado don Rafael Allendesalazar.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22 de mayo de 2014, se tuvo por personado y parte al Abogado del Estado, en representación de la Administración del Estado, y a la sociedad Disa Península, S.L.U.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día 30 de mayo de 2014. En síntesis, considera que, a la luz de la doctrina constitucional, el Auto de inadmisión combatido en amparo vulnera el derecho al acceso a los recursos que garantiza el art. 24.1 CE. Para el Abogado del Estado el auténtico problema constitucional que la demanda suscita radica en la aplicación retrospectiva de las nuevas máximas jurisprudenciales plasmadas en el ATS de 10 de febrero de 2011, que la demandante no podía conocer cuando preparó el recurso de casación. En el presente caso, la inadmisión del recurso de casación se sustenta, precisamente, en que no se preparó conforme a las referidas máximas, lo que supone imponer retroactivamente un novedoso régimen procesal desfavorable a la realización de un acto procesal totalmente concluido. Por tanto, la cuestión principal radica en la irrazonabilidad de una decisión que impone unos requisitos de forma que la parte no tenía posibilidad de conocer ni, por tanto,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20 de junio de 2014 presentó sus alegaciones la entidad Disa Península, S.L.U. Para dicha sociedad, las resoluciones combatidas en el presente recurso de amparo no vulneran el art. 14 CE. A ese respecto, considera que las demandantes no han aportado un término válido de comparación sobre el que sustentar la pretendida desigualdad constitucionalmente proscrita. Por otro lado, añade que no concurre ninguna de las circunstancias que, según la doctrina constitucional, dan lugar a la desigualdad en la aplicación de la ley por parte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denunciada lesión de la tutela judicial efectiva (art. 24.1 CE), considera que el motivo está también desprovisto de todo fundamento, habida cuenta de que el giro jurisprudencial a que se alude tuvo lugar, al menos, desde el año 2009. Sobre ese particular advierte que, desde el año mencionado, diversas resoluciones del Tribunal Supremo venían exigiendo que en el escrito de preparación se indicasen los motivos del recurso de casación (AATS de fecha 3 de noviembre de 2009, 14 de octubre, 18 de noviembre y 25 de noviembre de 2010). En consecuencia, la indefensión que invocan las demandantes no es imputable al órgano judicial, sino a un error cometido por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entidad personada sostiene que la inadmisión está exhaustivamente motivada, se basa en una causa legalmente prevista y es absolutamente compatible con lo establecido en los arts. 9.3, 14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20 de junio de 2014. Descarta la vulneración del art. 14 CE, dado que las sociedades demandantes no han ofrecido un desarrollo argumental adecuado para justificar la vulneración de la igualdad en la aplicación de la ley. Tal deficiencia aboca al fracaso del motivo, toda vez que no le corresponde al Tribunal Constitucional reconstruir las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pretendida vulneración del art. 24.1 CE, pues entiende que la argumentación ofrecida para inadmitir el recurso de casación no incurre en arbitrariedad, falta de razonabilidad o error patente. A mayor abundamiento, añade que el criterio mantenido por el órgano judicial en relación con los requisitos del escrito de preparación del recurso de casación, esto es, la obligación de indicar las concretas infracciones normativas o jurisprudenciales, se desprende del propio tenor de los apartados c) y d) del art. 88 LJCA. Por ello, concluye que el requisito cuyo incumplimiento ha determinado la inadmisión del referido recurso no viene impuesto por la jurisprudencia, sino por la propia normativa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23 de junio de 2014, la mercantil Grossen, S.A., interesó que se la tuviera por desistida del presente recurso de amparo. Tras la realización de los trámites oportunos, por Auto de la Sala Segunda de este Tribunal, de fecha 8 de septiembre de 2014, se acordó tener por desistida a la referida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25 de junio de 2014 presentaron sus alegaciones las entidades demandantes (salvo la sociedad desistida), en el sentido de ratificar íntegramente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fecha 17 de julio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29 de septiembre de 2011, del que trae causa el presente recurso de amparo. Por Auto de fecha 17 de julio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de 17 de marzo de 2015, el Pleno, en su reunión de esa fecha y conforme establece el artículo 10.1 n) de la Ley Orgánica del Tribunal, a propuesta de la Sala Segunda, acuerda recabar para sí el conocimiento del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entidades demandantes de amparo impugnan el Auto de la Sección Primera de la Sala de lo Contencioso-Administrativo del Tribunal Supremo de 29 de septiembre de 2011, que acordó no admitir a trámite el recurso de casación interpuesto contra la Sentencia de la Sala de lo Contencioso-Administrativo de la Audiencia Nacional (Sección Sexta) de 2 de diciembre de 2010, recaída en el procedimiento ordinario núm. 35-2008. También impugnan el Auto de fecha 15 de marzo de 2012, en cuya virtud se desestimó el incidente de nulidad promovido contra la resolución citada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recurrentes, según se expresa con más detalle en los antecedentes de hecho de esta resolución, imputa a las resoluciones recurridas: (i) la vulneración de su derecho a la tutela judicial efectiva (art. 24.1 CE), en su vertiente de acceso a los recursos, porque el Auto impugnado se funda en un requisito de admisibilidad no exigido por la ley; (ii) la vulneración de su derecho a la tutela judicial efectiva (art. 24.1 CE), en su vertiente de acceso a los recursos, porque la exigencia de anticipar, en el escrito de preparación del recurso de casación, los concretos preceptos o la jurisprudencia que se reputan infringidos se ha aplicado a un supuesto en el que aquella exigencia no era conocida ni predecible a tenor de la jurisprudencia precedente; (iii) la vulneración de su derecho a la igualdad en la aplicación judicial de la ley (art.14 CE), pues entiende que la interpretación jurisprudencial combatida ha supuesto para las entidades demandantes un trato menos favorable, desde la perspectiva del acceso a los recursos, que las resoluciones dictadas con anterioridad al ATS de fecha 10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la jurisprudencia que el recurrente reputa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17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de noviembre de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anteriormente indicada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las sociedades recurrentes no procedieron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y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las recurrentes—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las entidades mercantiles Inmobiliaria Alozaima, S.L., Grupo Acraba, S.L., E.S. El Moro, S.L., y Estagas,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a la Sentencia dictada en el recurso de amparo avocado núm. 3045-2012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las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