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112-2013, promovido por la entidad mercantil Pegasa, 2 S.L., representada por el Procurador de los Tribunales don Felipe Segundo Juanas Blanco y asistida por el Abogado don Jordi Ponsá Serrano, contra el Auto de la Sección Primera de la Sala de lo Contencioso-Administrativo del Tribunal Supremo, de fecha 12 de julio de 2012, que resolvió la inadmisión del recurso de casación núm. 6519-2011, interpuesto por la entidad demandante, y contra la providencia, de fecha 20 de noviembre de 2012, que inadmitió el incidente de nulidad de actuaciones interpuesto contra la resolución precedente. Ha comparecido el Abogado del Estado, en la representación que ostenta, y ha intervenido el Ministerio Fiscal. Ha sido Ponente el Magistrado don Pedro González Trevijano-Sánchez,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enero del 2013 tuvo entrada en el Registro General de este Tribunal el escrito presentado por el Procurador de los Tribunales don Felipe Segundo Juanas Blanco, actuando en nombre y representación de Pegasa 2, S.L., y bajo la dirección letrada del Abogado don Jordi Ponsá Serrano, mediante el cual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Pegasa 2, S.L., e Inversiones Gampell 2, S.L., interpusieron recurso contencioso-administrativo contra la resolución del Tribunal Económico-Administrativo Central, de fecha 11 de septiembre del 2008, relativo al ejercicio del año 2000 del impuesto de sociedades. La cuantía del recurso quedó fijada en 872.082,23 €.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408-2008, la Sala de lo Contencioso-Administrativo de la Audiencia Nacional (Sección Segunda) dictó, en fecha 10 de noviembre de 2011, Sentencia desestimatoria de las pretensiones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día 13 de diciembre del 2011, Pegasa 2, S.L., formuló escrito de preparación del recurso de casación contra la Sentencia recaída en la instancia. En dicho escrito puso de manifiesto la intención de interponer recurso de casación y, a su vez, indicó que el recurso iba a fundarse en los motivos previstos en el art. 88.1 d)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fecha 16 de diciembre de 2011, la Sala de lo Contencioso-Administrativo de la Audiencia Nacional tuvo por preparado el recurso de casación. Asimismo, dicho órgano acordó emplazar a la recurrente para que compareciera ante la Sala Tercera del Tribunal Supremo. Una vez recibidas las actuaciones por el órgano ad quem, el día 31 de enero del 2012 la actora interpuso el recurso de casación ante la Sala Tercera del Tribunal Supremo. El recurso de casación fue registrado con el núm. 6519-2011.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11 de mayo de 2012, la Sala Tercera del Tribunal Supremo confirió traslado a las partes, a fin que formularan alegaciones sobre la posible concurrencia de la causa de inadmisión, consistente en no haber citado en el escrito de preparación las infracciones normativas o jurisprudenciales que iban a desarrollarse en el escrito de interposición [arts. 88.1 y 89.1 y 93.2 a) LJCA, Auto de Sala de 10 de febrero de 2011,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5 de junio de 2012 la entidad demandante evacuó el traslado conferido, interesando la admisión a trámite del recurso de casación. En síntesis, afirmó que, habida cuenta de la disparidad de resoluciones al respecto, cabe considerar que el Tribunal Supremo no ha resuelto definitivamente sobre sí es preceptivo indicar, en el escrito de preparación del recurso de casación, las concretas infracciones normativas o jurisprudenciales en que se pretenda sustentar el recurso. Por otro lado, advirtió que los preceptos invocados en la providencia de traslado a las partes no han sido modificados legalmente y, por tanto, no es dable añadir, por vía jurisprudencial, nuevos requisitos en relación con la preparación del reiterado recurso de casación. Por último, apuntó que las decisiones de los jueces y tribunales deben estar orientadas a favorecer la efectividad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12 de julio del 2012, la Sala Tercera del Tribunal Supremo (Sección Primera) acordó la inadmisión del recurso de casación. La Sala se remitió a la doctrina establecida en ATS de 10 de febrero de 2011 y concluyó que no habiéndose citado, en el escrito de preparación del recurso formalizado por la sociedad recurrente, las infracciones normativas o jurisprudenciales que iban a desarrollarse en el escrito de interposición, procedía la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19 de octubre de 2012, la sociedad demandante promovió incidente de nulidad de actuaciones. En síntesis, alegó la vulneración del derecho a la tutela judicial efectiva en su vertiente de acceso a los recursos legalmente establecidos (art. 24.1 CE), habida cuenta de que el requisito cuyo incumplimiento ha determinado la inadmisión del recurso no está expresamente contemplado por la ley. También destacó que el Tribunal Supremo ha llevado a cabo una interpretación contraria a la mayor efectividad del derecho fundamental al recurso, lo que ha conducido a un resultado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20 de noviembre de 2012 fue inadmitido el incidente de nulidad de actuaciones promovido contra el Auto de inadmisión del recurso de casación. En esencia, el órgano judicial considera que la demandante se limita a discrepar de las razones tenidas en consideración para inadmitir el recurso de casación, asimilando el incidente de nulidad a un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tutela judicial efectiva sin indefensión, en su vertiente del acceso a los recursos (art. 24.1 CE). En síntesis, la vulneración denunciada tiene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Supremo ha inadmitido el recurso de casación sin brindar la posibilidad de subsanación del trámite de preparación supuestamente defectuoso, en base a la doctrina estatuida en el ATS de fecha 10 de febrero de 2011, cuya fecha de publicación se ignora, tras trece años de vigencia de la norma procesal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novedosa interpretación patrocinada por el Tribunal Supremo adolece de la necesaria racionalidad, pues exige el cumplimiento de un requisito —la indicación de las concretas infracciones normativas y jurisprudenciales en el escrito de preparación— que no está previsto en el art. 89.1 LJCA, precepto este que no ha sido modificado por la Ley 37/2011, de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inadmisión del recurso de casación no se acompasa con la exigencia ínsita en el derecho a la tutela judicial efectiva, en orden a favorecer la efectividad del derecho fundamental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18 de septiembre de 2013, el Magistrado de este Tribunal don Juan José González Rivas solicitó se le tuviera por abstenido en el presente recurso, dada la concurrencia de la causa de abstención prevista en el art. 219.11 de la Ley Orgánica del Poder Judicial (LOPJ), de aplicación supletoria conforme a lo establecido en el art. 80 de la Ley Orgánica del Tribunal Constitucional (LOTC), habida cuenta de que formó parte de la Sección Primera de la Sala Tercera del Tribunal Supremo, órgano este que dictó el Auto de inadmisión de 12 de julio de 2012, del que trae causa el presente recurso de amparo. Por Auto de fecha 19 de septiembre de 2013, la Sección Tercera de este Tribunal resolvió estimar justificada la causa de abstención invocada, apartando definitivamente del conocimiento del presente recurso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 6519-2011 y al recurso núm. 408-2008,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28 de octubre de 2013, el Abogado del Estado, en la representación que le es propia,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15 de noviembre de 2013, se tuvo por personado y parte al Abogado del Estado, en representación de la Administración del Estado. A tenor de lo dispuesto en el art. 52.1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16 de diciembre de 2013, la sociedad demandante de amparo formuló sus alegaciones. En esencia, dicha entidad se remite a lo ya manifestado en el escrito de demanda, reiterando las pretensiones interesadas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día 18 de diciembre de 2013. En síntesis, considera que, a la luz de la doctrina constitucional, el Auto de inadmisión combatido en amparo vulnera el derecho al acceso a los recursos que garantiza el art. 24.1 CE. Para el Abogado del Estado el problema constitucional que la demanda suscita radica en la aplicación retrospectiva de las nuevas máximas jurisprudenciales plasmadas en el ATS de 10 de febrero de 2011, las cuales pudieron ser desconocidas en el momento de la preparación del recurso de casación. En el presente caso, la inadmisión del recurso de casación se sustenta, precisamente, en que no se preparó conforme a las referidas máximas. Por tanto, la cuestión principal reside en la irrazonabilidad de una decisión que impone unos requisitos de forma que, razonablemente, pudieron ser desconocidos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interesa que se dicte Sentencia cuya doctrina refleje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16 de diciembre de 2013, la sociedad demandante de amparo formuló sus alegaciones. En esencia, dicha entidad se remite a lo ya manifestado en el escrito de demanda, reiterando las pretensiones interesadas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mediante escrito registrado el 16 de enero de 2014. Rechaza la pretendida vulneración del art. 24.1 CE, pues entiende que la argumentación ofrecida para inadmitir el recurso de casación no incurre en arbitrariedad, falta de razonabilidad o error patente. A mayor abundamiento, añade que el criterio mantenido por el órgano judicial en relación con los requisitos del escrito de preparación del recurso de casación, esto es, la obligación de indicar las concretas infracciones normativas o jurisprudenciales, se desprende del propio tenor del apartado d) del art. 88 LJCA. Por ello, considera que el requisito cuyo incumplimiento ha determinado la inadmisión del referido recurso no viene impuesto por la jurisprudencia, sino por la propia normativa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afirma que cuando la parte demandante formuló el escrito de preparación del recurso de casación —el día 13 de diciembre de 2011— ya estaba vigente la nueva doctrina jurisprudencial iniciada con el ATS 2371/2011, de 10 de febrero; por tanto, nada de extraño tiene que el recurso de casación se inadmitiera en aplicación del criterio establecido en el Auto objeto de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fecha 4 de noviembre de 2014, el Magistrado de este Tribunal don Ricardo Enríquez Sancho solicitó se le tuviera por abstenido en el presente recurso, dada la concurrencia de la causa de abstención prevista en el art. 219.11 LOPJ, de aplicación supletoria conforme a lo establecido en el art. 80 LOTC, habida cuenta de que, a la sazón, formó parte de la Sección Primera de la Sala Tercera del Tribunal Supremo, órgano este que dictó el Auto de inadmisión de 12 de julio de 2012, del que trae causa el presente recurso de amparo. Por Auto de fecha 6 de noviembre de 2014, la Sala Segunda de este Tribunal resolvió estimar justificada la causa de abstención invocada, apartando definitivamente del conocimiento del presente recurso y de todas sus incidencias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de 17 de marzo de 2015, el Pleno, en su reunión de esa fecha y conforme establece el artículo 10.1 n) de la Ley Orgánica del Tribunal, a propuesta de la Sala Segunda, acuerda recabar para sí el conocimiento del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12 de julio de 2012, que acordó no admitir a trámite el recurso de casación interpuesto contra la Sentencia de la Sala de lo Contencioso-Administrativo de la Audiencia Nacional (Sección Segunda) de 10 de noviembre de 2011, recaída en el procedimiento ordinario núm. 408-2008. También impugna la providencia mediante la que se inadmitió a trámite el incidente de nulidad de actuaciones, de fecha 20 de noviembre de 2012,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recurrente, según se expresa con más detalle en los antecedentes de hecho de esta resolución, imputa a las resoluciones recurridas la vulneración de su derecho a la tutela judicial efectiva (art. 24.1 CE), en su vertiente de acceso a los recursos: (i) porque la inadmisión acordada por el Auto impugnado se funda en un requisito de admisibilidad no exigido por la ley; (ii) porque el órgano judicial no brindó la posibilidad de subsanación del trámite de preparación supuestamente defectuoso, tras trece años de vigencia de la norma procesal de aplicación, que no ha sido modificada hasta el momento presente; (iii) porque la decisión de inadmisión no se acompasa con el principio de interpretación más favorable a la efectividad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en esencia, ya abordados por este Tribunal en la STC 7/2015, de 22 de enero, en la que hemos tenido la oportunidad de examinar otro supuesto de inadmisión de un recurso de casación por omitirse en el escrito de preparación la cita de las normas y la jurisprudencia que el recurrente reputa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17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noviembre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breve exposición de la concurrencia de los requisitos de forma exigidos”), alcanzando la conclusión de que uno de esos requisitos ha de ser la cita, siquiera breve, de las normas y la jurisprudencia que se estimen infringidas, en atención a que la fase de preparación del recurso de casación tiene sustantividad propia, sin que pueda quedar reducida a un trámite carente de trascendencia. Desde esa óptica, en el Auto impugnado se razona que la exigencia antes indicada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ésta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entidad Pegasa 2,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