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número 1713-2012, promovido por Banco Santander S.A., representado por el Procurador de los Tribunales don Cesáreo Hidalgo Senén y asistido por el Abogado don Jesús Remón Peñalver, contra el Auto de la Sección Primera de la Sala de lo Contencioso-Administrativo del Tribunal Supremo de 10 de noviembre de 2011, que declaró la inadmisión del recurso de casación núm. 1504-2011, y contra la providencia de 7 de febrero de 2012 que inadmitió a trámite el incidente de nulidad de actuaciones promovido contra aquél. Ha comparecido el Abogado del Estado, en la representación que ostenta,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2012, don Cesáreo Hidalgo Senén, Procurador de los Tribunales, actuando en nombre y representación de Banco Santander, S.A.,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contra la resolución del Tribunal Económico-administrativo Central, de 14 de septiembre de 2007, R.G.3806/04-R.S.29/06, relativo a la liquidación girada el 29 de julio de 2004 por la Oficina Nacional de Inspección de la Agencia Estatal de la Administración Tributaria en el impuesto sobre sociedades (régimen de declaración consolidada) del ejercicio 1999 (período: 1 de enero-16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seno del procedimiento ordinario núm. 449-2007, dictó Sentencia de 19 de enero de 2011 la Sección Segunda de la Sala de lo Contencioso-Administrativo de la Audiencia Nacional, confirmatoria de la resolución del Tribunal Económico-Administrativo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7 de marzo de 2011, la representación procesal de Banco Santander, S.A., formalizó escrito de preparación de recurso de casación contra la Sentencia referida, anunciándolo al amparo del motivo d) del art. 88.1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25 de mayo de 2011, la Sala de lo Contencioso-Administrativo del Tribunal Supremo acordó conceder a las partes del recurso de casación núm. 1504-2011 un plazo de diez días para que formularan alegaciones acerca de la posible concurrencia de la siguiente causa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haberse hecho indicación en el escrito de preparación del recurso, de las concretas infracciones normativas o jurisprudenciales que se desarrollarán en el escrito de interposición del recurso de casación (artículos 88.1, 89.1 y 93.2.a. de la LRJCA y Auto de la Sala de 10 de febrero de 2011, dictado en el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presentó alegaciones en dicho trámite mediante escrito de fecha 14 de junio de 2011, en el que solicitaba la admisión del recurso por haber cumplido los requisitos exigidos por la Sala de forma estable y consolidada en los escritos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noviembre de 2011, la Sala Tercera del Tribunal Supremo (Sección Primera) declaró la inadmisión del recurso de casación. La resolución se remite al ATS dictado en el recurso de casación núm. 2927-2010, a la vista de cuya doctrina concluye que, al no contener el escrito de preparación del recurso la cita de las infracciones normativas o jurisprudenciales denunciadas, procedía la inadmisión del mismo por su defectuosa preparación. En la referida resolución se argumenta: (i) que la exigencia de cita de las infracciones normativas o jurisprudenciales que se estiman infringidas responde a una concepción de la fase de preparación como trámite con sustantividad propia —que no constituye un mero formalismo carente de trascendencia y que persigue garantizar que la parte recurrida cuente desde un principio con la información necesaria para adoptar la posición procesal que estime pertinente—; (ii) que el cambio de criterio interpretativo operado por el Auto de 10 de febrero de 2011, dictado en el recurso de casación antes citado, culmina una evolución jurisprudencial dirigida a hacer efectiva esa concepción del trámite de preparación del recurso, lo que es perfectamente compatible con el carácter dinámico y adaptativo de la jurisprudencia, que ha de ajustarse a las nuevas realidades en las que se desenvuelven las relaciones jurídicas, y (iii) que la aplicación del nuevo criterio a todas las situaciones jurídicas pendientes de resolver, con independencia de la fecha de presentación del escrito de preparación, obedece al “mínimo efecto retroactivo” al que se ha referido el Tribunal Constitucional en el examen de los cambios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Auto de inadmisión de 10 de noviembre de 2011 fue promovido incidente de nulidad de actuaciones, invocándose el derecho a la tutela judicial efectiva en su vertiente de acceso a los recursos (art. 24.1 CE), siendo inadmitido dicho remedio procesal por providencia de 7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el Auto de 10 de noviembre de 2011 ha vulnerado su derecho a la tutela judicial efectiva (art. 24.1 CE), en su vertiente de acceso a los recursos. Según afirma, el escrito de preparación del recurso de casación del Banco de Santander, S.A., cumplía con las exigencias de la jurisprudencia consolidada de la Sala Tercera de lo Contencioso-Administrativo del Tribunal Supremo relativa a los escritos de preparación de la interposición de la casación. En consecuencia, la resolución recurrida, con su cambio de criterio, opera con base en una causa de inadmisión no prevista legalmente, que vulnera el contenido esencial del derecho a la tutela judicial efectiva y se aparta, de manera tan sorpresiva como inmotivada, del tenor literal de los preceptos legales que regulan el contenido del escrito de preparación y de la jurisprudencia constante y reiterada sobre el particular. La decisión de inadmisión descansa así en una fundamentación arbitraria e irrazonable que lesiona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 infracción del principio general que deriva del art. 9.3 CE, el Auto recurrido aplica de forma retroactiva una novedosa doctrina sobre los requisitos formales del escrito de preparación del recurso de casación que, sin estar prevista en la Ley y contrariando la doctrina anterior, impide el acceso al recurso. En concreto, aplica ese cambio de criterio a la impugnación en casación de una sentencia recaída con anterioridad a la fijación de esa nueva posición jurisprudencial, puesto que la Sentencia de la Sala de lo Contencioso-Administrativo de la Audiencia Nacional contra la que se formuló el escrito de preparación de recurso de casación fue dictada el 19 de enero de 2011, mientras que la doctrina invocada por la Sala Tercera de lo Contencioso-Administrativo del Tribunal Supremo, determinante de la inadmisión del recurso de casación preparado, sólo se inició con el posterior Auto de aquella Sala, de 10 de febrero de 2011 (recurso de casación núm.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inadmisión incurre también en un formalismo enervante del derecho a la tutela judicial efectiva, que olvida el mandato constitucional que impone interpretar la legalidad en el sentido más favorable a la efectividad de los derechos fundamentales, optando en cambio por una solución no favorable al acceso al recurso, contrario a la doctrina jurisprudencial del Tribunal Europeo de Derechos Humanos recaída en torno al art. 6.1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demanda de amparo, la Sala Segunda de este Tribunal, por Auto de 7 de noviembre de 2013, acordó declarar justificada la abstención para el conocimiento del presente recurso de amparo formulada por el Magistrado don Juan José González Rivas,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2013, la Sala Segunda acordó admitir a trámite la demanda de amparo. Asimismo, en aplicación de lo dispuesto en el art. 51 de la Ley Orgánica del Tribunal Constitucional (LOTC), acordó dirigir atenta comunicación al Tribunal Supremo y a la Audiencia Nacional a fin de que, en el plazo de diez días, remitieran, respectivamente, certificación o fotocopia adverada de las actuaciones correspondientes al recurso de casación núm. 1504-2011 y al procedimiento ordinario núm. 449-2007, debiendo previamente emplazarse para que pudieran comparecer en el recurso de amparo, en el término de diez días, a quienes hubieran sido parte en el procedimiento, excepto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2 de diciembre de 2013, se tuvieron por recibidos los testimonios de las actuaciones, remitidos por el Tribunal Supremo y por la Audiencia Nacional, así como por personado y parte al Abogado del Estado, en la representación que ostenta, como solicitó éste en escrito registrado el día 21 de noviembre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18 de diciembre de 2013, en el que interesa que se dicte sentencia estimatoria por vulneración del art. 24.1 CE. Entiende incumplidas “las exigencias mínimas de confianza legítima de los justiciables”. A su juicio, las nuevas máximas jurisprudenciales contenidas en el ATS de 10 de febrero de 2011 se han aplicado en perjuicio del recurrente, que había preparado la casación antes de que se pudiera conocer aquella innovadora resolución, de manera que su recurso de casación fue inadmitido en virtud de nuevas “exigencias” jurisprudenciales que razonablemente no se conocían al tiempo de su preparación. La razonable expectativa o confianza legítima sobre la admisión de un recurso de casación preparado de acuerdo con los requisitos de forma exigidos por la jurisprudencia en el momento de presentar el escrito de preparación, por tanto, se vio sorpresivamente frustrada por la aplicación retrospectiva de las nuevas máximas jurisprudenciales, sin dar oportunidad procesal ninguna de ajustar el escrito ya presentado a las nuevas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27 de diciembre de 2013 se registró en este Tribunal el escrito de alegaciones de la sociedad recurrente de amparo, en el que insiste y desarrolla con nuevas referencias jurisprudenciales las alegaciones ya contenidas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mediante escrito registrado el 15 de enero de 2014, interesando la desestimación del recurso. A su parecer, el Auto dictado por la Sección Primera de la Sala de lo Contencioso-Administrativo del Tribunal Supremo constituye una resolución debidamente motivada, que no está incursa ni en error patente, ni en irrazonabilidad, ni en arbitrariedad. Por lo demás, advierte, cuando la parte ahora demandante de amparo formuló su escrito de preparación del recurso de casación —el día 7 de marzo de 2011— ya se hallaba vigente la nueva doctrina jurisprudencial iniciada por el ATS de 10 de febrero de 2011, recaído en el recurso de casación núm. 2927-2010, por lo que nada ha de extrañar que la Sección Primera de la Sala de lo Contencioso-Administrativo del Tribunal Supremo aplicara la nueva doctrina a un recurso de casación preparado en vigencia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 este Tribunal, por Auto de 6 de noviembre de 2014,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 este Tribunal, mediante providencia de 17 de marzo de 2015, acordó, de conformidad con el art. 10.1 n) LOTC, a propuesta de la Sala Segunda, recabar para sí el conocimiento de este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ha vulnerado el derecho a la tutela judicial efectiva (art. 24.1 CE), desde la perspectiva del derecho de acceso al recurso, la decisión judicial de inadmitir el recurso de casación contencioso-administrativo por no haberse citado en el escrito de preparación los concretos preceptos o la jurisprudencia que se reputan infringidos, y todo ello: (a) por referirse a una causa de inadmisión sin cobertura legal; b) porque la nueva exigencia constituye un requisito que no era conocido ni predecible a tenor de la jurisprudencia aplicable en el momento en que se presentó el escrito de preparación y (c) por incurrir la decisión adoptada en un formalismo enervante, que olvida el mandato constitucional que impone interpretar la legalidad en el sentido más favorable a la efectividad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la jurisprudencia que el recurrente reputa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de noviembre de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anteriormente indicada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Banco de Santander,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a la Sentencia dictada en el recurso de amparo avocado núm. 1713-2012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las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