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78</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30 de abril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Santiago Martínez-Vares García, don Juan Antonio Xiol Ríos, don Pedro González-Trevijano Sánchez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3814-2012, promovido por la mercantil Josel, S.L., representada por el Procurador de los Tribunales don Antonio Sorribes Calle y asistida por el Abogado don Miguel Andrés Riera, contra el Auto de la Sección Primera de la Sala de lo Contencioso-Administrativo del Tribunal Supremo, de fecha 12 de enero de 2012, que resolvió la inadmisión del recurso de casación núm. 316-2011, interpuesto por la sociedad demandante de amparo, y contra la providencia de fecha 22 de mayo de 2012, que inadmitió el incidente de nulidad de actuaciones interpuesto contra la resolución precedente. Ha comparecido el Abogado del Estado, en la representación que ostenta, y ha intervenido el Ministerio Fiscal. Ha sido Ponente el Magistrado don Pedro González Trevijano-Sánchez,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22 de junio del 2012 tuvo entrada en el Registro General de este Tribunal el escrito presentado por el Procurador de los Tribunales don Antonio Sorribes Calle, actuando en nombre y representación de la mercantil Josel, S.L., y bajo la dirección letrada del Abogado don Miguel Andrés Riera, mediante el cual interpuso recurso de amparo contra las resoluciones judiciales que se mencionan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 la demanda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Josel, S.L., entidad que absorbió y sucedió a título universal a Donca, S.A., interpuso recurso contencioso-administrativo contra la resolución del Tribunal Económico-Administrativo Central, de fecha 14 de septiembre de 2007, desestimatoria del recurso de alzada interpuesto contra la resolución del Tribunal Económico-Administrativo Regional de Cataluña, de fecha 6 de octubre de 2005, dictada en la reclamaciones económico-administrativas relativas a las liquidaciones practicadas y sanciones impuestas a Donca, S.A., por los ejercicios 1996 y 1997 del impuesto de sociedades.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Seguido el procedimiento por sus trámites, con el núm. 453-2007, la Sala de lo Contencioso-Administrativo de la Audiencia Nacional (Sección Segunda) dictó, en fecha 16 de diciembre de 2010, Sentencia que estimó parcialmente las pretensiones de la demandante, pues anuló la sanción que le había sido impuesta por ambos ejercicios, pero desestimó las restantes pretensiones ejercitadas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Mediante escrito presentado el día 4 de enero de 2011, el Abogado del Estado formuló escrito de preparación del recurso de casación contra la Sentencia recaída en la instancia. No obstante, por escrito de fecha 28 de febrero, que fue presentado ante la Sala Tercera del Tribunal Supremo (Sección Primera), la Abogacía del Estado manifestó que no sostenía el recurso de casación. Por Decreto de la Secretaría del referido órgano, de fecha 23 de marzo de 2011, se declaró desierto el recurso de casación a que se ha hecho mención.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Mediante escrito presentado, en fecha 10 de enero de 2011, la sociedad demandante de amparo interesó que se tuviera por preparado recurso de casación contra la Sentencia antes indicada. En dicho escrito puso de manifiesto la intención de interponer recurso de casación y, a su vez, indicó que el recurso iba a fundarse en los motivos previstos en los arts. 88.1 c) y 88.1 d) de la Ley reguladora de la jurisdicción contencioso-administrativa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diligencia de ordenación de fecha 12 de enero de 2011, la Sala de lo Contencioso-Administrativo de la Audiencia Nacional tuvo por preparado los recursos de casación. Asimismo, dicho órgano acordó emplazar a los recurrentes para que comparecieran ante la Sala Tercera del Tribunal Supremo. Una vez recibidas las actuaciones por el órgano ad quem, el día 16 de febrero del 2011 la actora interpuso el recurso de casación ante la Sala Tercera del Tribunal Supremo. El recurso de casación fue registrado con el número 316-2011.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providencia de 25 de abril de 2011, la Sala Tercera del Tribunal Supremo confirió traslado a las partes, a fin que formularan alegaciones sobre la posible concurrencia de la causa de inadmisión, consistente en no haber citado en el escrito de preparación las infracciones normativas o jurisprudenciales que iban a desarrollarse en el escrito de interposición [arts. 88.1, 89.1 y 93.2 a) LJCA], conforme a lo establecido en el ATS de 10 de febrero de 2011, dictado en el recurso de casación 2927-2010.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16 de mayo de 2011 la sociedad demandante evacuó el traslado conferido. En síntesis, la referida entidad manifestó haber preparado el recurso de casación conforme al criterio jurisprudencial establecido con anterioridad al ATS de 10 de febrero de 2011; que no cabe aplicar retroactivamente y de manera sorpresiva el cambio de criterio jurisprudencial relativo a los requisitos del recurso de preparación del recurso de casación, principalmente porque en el momento de la preparación del recurso la recurrente no pudo tener conocimiento de la referida modificación de criterio; que la aplicación retroactiva de las nuevas pautas jurisprudenciales, que no están previstas legalmente, vulneran el principio de seguridad jurídica; y que es manifiestamente desproporcionado exigir el cumplimiento de un requisito formal, en el escrito de preparación del recurso de casación, cuando dicho recurso ya se ha formalizado.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Por Auto de 12 de enero de 2012, la Sala Tercera del Tribunal Supremo (Sección Primera) acordó la inadmisión del recurso de casación. La Sala se remitió a la doctrina establecida en ATS de 10 de febrero de 2011, del que transcribió varios de sus fundamentos, y concluyó que no habiéndose citado, en el escrito de preparación del recurso formalizado por la sociedad recurrente, las infracciones normativas o jurisprudenciales que iban a desarrollarse en el escrito de interposición, procedía la inadmisión del recurso de casación. Por otro lado, la Sala consideró de aplicación lo que la doctrina constitucional ha calificado como “mínimo efecto retroactivo”, de manera que el nuevo criterio jurisprudencial resulta extensible a todo supuesto o situación jurídica que tenga ante sí para resolver, con independencia del momento temporal en que se interpuso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fecha 21 de febrero de 2012, la sociedad demandante de amparo promovió incidente de nulidad de actuaciones en el que, con una extensa argumentación, alegó la vulneración del derecho a la igualdad en la aplicación judicial de la ley (art. 14 CE) y del derecho a la tutela judicial efectiva en su vertiente de acceso a los recursos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Por providencia de 22 de mayo de 2012 fue inadmitido el incidente de nulidad de actuaciones promovido contra el Auto de inadmisión del recurso de casación. En esencia, el órgano judicial considera que la demandante se limita a discrepar de las razones tenidas en consideración para inadmitir el recurso de casación, asimilando el incidente de nulidad a un recurso de súplica.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aduce la vulneración del derecho a la igualdad en la aplicación judicial de la ley (art 14 CE) y del derecho a la tutela judicial efectiva sin indefensión, en su vertiente del acceso a los recursos (art. 24.1 CE). En síntesis, tales vulneraciones se asientan en las siguientes circunstancias: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Resulta arbitrario e irracional aplicar retroactivamente un cambio de criterio jurisprudencial, en relación con los requisitos formales para la admisibilidad del recurso de casación, sobre todo cuando se exige la observancia de las nuevas pautas jurisprudenciales una vez formalizado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aplicación retroactiva de un nuevo requisito de forma, no previsto legalmente e introducido ex novo en virtud de un cambo jurisprudencial, es irracional por vulnerar el principio de seguridad jurídica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nuevo criterio jurisprudencial violenta el tenor de la norma legal, pues exige cumplimentar, en el escrito de preparación del recurso de casación, un requisito que solamente tiene sentido cuando se recurren en casación sentencias dictadas por los Tribunales Superiores de Justicia, con fundamento en la infracción de una norma estatal o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el presente caso ha tenido lugar una modificación irreflexiva y arbitraria de un criterio jurisprudencial consolidado, que es contraria al principio de igualdad (art. 14 CE), máxime porque no ha existido modificación de la normativa que justifique tal cambio de criterio.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de fecha 18 de septiembre de 2013, el Magistrado de este Tribunal don Juan José González Rivas solicitó se le tuviera por abstenido en el presente recurso, dada la concurrencia de la causa de abstención prevista en el art. 219.11 de la Ley Orgánica del Poder Judicial (LOPJ), de aplicación supletoria conforme a lo establecido en el art. 80 de la Ley Orgánica del Tribunal Constitucional (LOTC), habida cuenta de que formó parte de la Sección Primera de la Sala Tercera del Tribunal Supremo, órgano este que dictó el Auto de inadmisión de 12 de enero del 2012, del que trae causa el presente recurso de amparo. Por Auto de fecha 19 de septiembre de 2013, la Sección Tercera de este Tribunal resolvió estimar justificada la causa de abstención invocada, apartando definitivamente del conocimiento del presente recurso al referido Magistrado.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10 de octubre de 2013, la Sala Segunda del Tribunal Constitucional acordó admitir a trámite la demanda de amparo. Asimismo, en aplicación de lo dispuesto en el art. 51 LOTC, dispuso dirigir atenta comunicación al Tribunal Supremo y a la Audiencia Nacional a fin de que, en el plazo de diez días, remitieran certificación o fotocopia adverada de las actuaciones correspondientes al recurso de casación núm. 316-2011 y al recurso núm. 453-2007, respectivamente, debiendo previamente emplazarse para que pudieran comparecer en el recurso de amparo, en el término de diez días, a quienes hubieran sido parte en el procedimiento, excepto a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de fecha 28 de octubre de 2013, el Abogado del Estado, en la representación que le es propia, solicitó que se le tuviera por personado y parte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la Secretaría de Justicia de la Sala Segunda de este Tribunal, de fecha 15 de noviembre de 2013, se tuvo por personado y parte al Abogado del Estado, en representación de la Administración del Estado. A tenor de lo dispuesto en el art. 52.1 LOTC, se dio vista de las actuaciones, por un plazo común de veinte días, al Ministerio Fiscal y a las partes personadas para que dentro de dicho término pudieran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de fecha 9 de diciembre del 2013, la sociedad demandante formuló sus alegaciones. En esencia, dicha entidad se remite a lo ya manifestado en el escrito de demanda, reiterando las pretensiones interesadas en dicho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 El Abogado del Estado presentó sus alegaciones mediante escrito registrado el día 18 de diciembre de 2013. En síntesis, considera que, a la luz de la doctrina constitucional, el Auto de inadmisión combatido en amparo vulnera el derecho al acceso a los recursos que garantiza el art. 24.1 CE. Para el Abogado del Estado el auténtico problema constitucional que la demanda suscita radica en la aplicación retrospectiva de las nuevas máximas jurisprudenciales plasmadas en el ATS de 10 de febrero de 2011, que la demandante no podía conocer cuando preparó el recurso de casación. En el presente caso, la inadmisión del recurso de casación se sustenta, precisamente, en que no se preparó conforme a las referidas máximas, lo que comporta imponer retroactivamente un novedoso régimen procesal desfavorable a la realización de un acto procesal totalmente concluido. Por tanto, la cuestión principal radica en la irrazonabilidad de una decisión que impone unos requisitos de forma que la parte no tenía posibilidad de conocer ni, por tanto, de cumplir.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el Abogado del Estado interesa que se dicte Sentencia cuya doctrina refleje que “el derecho fundamental de acceso al recurso garantiza a los justiciables que las nuevas máximas jurisprudenciales que imponen más severos requisitos de forma al escrito de preparación de un recurso de casación —cuyo incumplimiento puede determinar la inadmisión del recurso— no se aplicarán contrariando las exigencias mínimas de confianza legítima de los justiciables.”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presentó sus alegaciones mediante escrito registrado el 13 de enero de 2014. Descarta la vulneración del art. 14 CE, dado que la sociedad demandante no ha ofrecido un desarrollo argumental adecuado para justificar la vulneración de la igualdad en la aplicación de la ley. Tal deficiencia aboca al fracaso del motivo, toda vez que no le corresponde al Tribunal Constitucional reconstruir las demandas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rechaza la pretendida vulneración del art. 24.1 CE, pues entiende que la argumentación ofrecida para inadmitir el recurso de casación no incurre en arbitrariedad, falta de razonabilidad o error patente. A mayor abundamiento, añade que el criterio mantenido por el órgano judicial en relación con los requisitos del escrito de preparación del recurso de casación, esto es, la obligación de indicar las concretas infracciones normativas o jurisprudenciales, se desprende del propio tenor de los apartados c) y d) del art. 88 LJCA. Por ello, concluye que el requisito cuyo incumplimiento ha determinado la inadmisión del referido recurso no viene impuesto por la jurisprudencia, sino por la propia normativa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escrito de fecha 4 de noviembre de 2014, el Magistrado de este Tribunal don Ricardo Enríquez Sancho solicitó se le tuviera por abstenido en el presente recurso, dada la concurrencia de la causa de abstención prevista en el art. 219.11 LOPJ, de aplicación supletoria conforme a lo establecido en el art. 80 LOTC, habida cuenta de que, a la sazón, formó parte de la Sección Primera de la Sala Tercera del Tribunal Supremo, órgano este que dictó el Auto de inadmisión de 12 de enero de 2012, del que trae causa el presente recurso de amparo. Por Auto de fecha 6 de noviembre de 2014, la Sala Segunda de este Tribunal resolvió estimar justificada la causa de abstención invocada, apartando definitivamente del conocimiento del presente recurso y de todas sus incidencias al referido Magistrado.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providencia de fecha 17 de marzo de 2015, el Pleno, en su reunión de esa fecha y conforme establece el artículo 10.1 n) de la Ley Orgánica del Tribunal, a propuesta de la Sala Segunda, acuerda recabar para sí el conocimiento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fecha 28 de abril de 2015 se señaló para deliberación y fallo de la Sentencia el día 30 del citado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parte demandante de amparo impugna el Auto de la Sección Primera de la Sala de lo Contencioso-Administrativo del Tribunal Supremo de 12 de enero de 2012, que acordó no admitir a trámite el recurso de casación interpuesto contra la Sentencia de la Sala de lo Contencioso-Administrativo de la Audiencia Nacional (Sección Segunda) de 16 de diciembre de 2010, recaída en el procedimiento ordinario núm. 453-2007. También impugna la providencia mediante la que se inadmitió a trámite el incidente de nulidad de actuaciones, de fecha 22 de mayo de 2012, promovido contra el Auto 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según se expresa con más detalle en los antecedentes de hecho de esta resolución, imputa a las resoluciones recurridas: (i) la vulneración de su derecho a la tutela judicial efectiva (art. 24.1 CE), en su vertiente de acceso a los recursos, porque el Auto impugnado se funda en un requisito de admisibilidad no exigido por la ley; (ii) la vulneración de su derecho a la tutela judicial efectiva (art. 24.1 CE), en su vertiente de acceso a los recursos, porque la exigencia de anticipar, en el escrito de preparación del recurso de casación, los concretos preceptos o la jurisprudencia que se reputan infringidos se ha aplicado a un supuesto en el que aquella exigencia no era conocida ni predecible a tenor de la jurisprudencia precedente; (iii) la vulneración de su derecho a la igualdad en la aplicación judicial de la ley (art.14 CE), pues entiende que se ha producido una modificación irreflexiva y arbitraria de un criterio jurisprudencial consolidado, sin que se haya producido un cambio de las norma que regula la preparación del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problemas planteados en la demanda de amparo han sido ya abordados por este Tribunal en la STC 7/2015, de 22 de enero, en la que hemos tenido la oportunidad de examinar otro supuesto de inadmisión de un recurso de casación, por omitirse en el escrito de preparación la cita de las normas y jurisprudencia que el recurrente reputase infringidas.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doctrina establecida en la referida Sentencia, debe descartarse, en primer lugar, que se haya vulnerado el derecho a la tutela judicial efectiva (art. 24.1 CE) por carecer la decisión judicial de la necesaria cobertura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general, este Tribunal ha declarado que “corresponde al Tribunal Supremo la última palabra sobre la admisibilidad de los recursos de casación ante él interpuestos, salvo lo dispuesto en materia de garantías constitucionales (art. 123 CE)” (STC 37/1995, de 7 de febrero, FJ 6), por lo que el control constitucional que este Tribunal debe realizar de las resoluciones judiciales dictadas sobre los presupuestos o requisitos de admisión de los recursos tiene carácter externo, siendo, si cabe, más limitado en lo referido al recurso de casación, pues (i) el Tribunal Supremo tiene encomendada la función de interpretar la ley con el valor complementario que atribuye a su jurisprudencia el Código civil y (ii) el recurso de casación tiene, a su vez, naturaleza extraordinaria, de donde se sigue que su régimen procesal es más estricto (SSTC 37/1995, FJ 5; 248/2005, de 10 de octubre, FJ 2; 100/2009, de 27 de abril, FJ 4, y 35/2011, de 28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hemos de recordar que el Tribunal Europeo de Derechos Humanos ha señalado que la manera en la que se aplica el art. 6.1 del Convenio a este recurso extraordinario puede depender de particularidades derivadas de la apreciación de conjunto del proceso tramitado y del papel que desempeñe el tribunal de casación, pudiendo las condiciones de admisión de un recurso de casación ser más rigurosas que las propias de un recurso que haya de resolverse en grado de apelación (SSTEDH de 19 de diciembre de 1997, caso Brualla Gómez de la Torre c. España, y de 25 de enero de 2005, caso Puchol Oliver c.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relevantes son las Sentencias del Tribunal de Estrasburgo recaídas en los casos Sociedad General de Aguas de Barcelona c. España, de 25 de mayo de 2000; Llopis Ruiz c. España, de 7 noviembre 2003, e Ipamark c. España, de 17 de febrero de 2004, que presentan en común juzgar resoluciones en las que nuestro Tribunal Supremo inadmitió recursos de casación por considerar que los recurrentes no habían justificado en sus respectivos escritos procesales que la infracción de normas estatales o comunitarias había sido relevante y determinante del fallo de la Sentencia recurrida. El Tribunal Europeo concluyó con la desestimación de las respectivas demandas, en la medida en que la interpretación que deba darse a los preceptos de la Ley reguladora de la jurisdicción contencioso-administrativa (LJCA) y a las condiciones de su aplicación era una cuestión que dependía de los jueces ordinarios, sin que en estos casos su interpretación pudiera tacharse de arbitraria o irrazonable o de que dificultase la equidad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enmarcada la cuestión, la exigencia de que el escrito de preparación del recurso de casación contenga la cita, siquiera sucinta, de las normas y jurisprudencia que se estimen infringidas, entra dentro de las facultades jurisprudenciales que corresponden al Tribunal Supremo en la interpretación de los requisitos de acceso a la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el Tribunal Supremo, en el Auto que es objeto de impugnación en el presente recurso, ha afrontado la interpretación del art. 89.1 LJCA (precepto que exige que en el escrito de preparación del recurso de casación se exprese “la intención de interponer el recurso, con sucinta exposición de la concurrencia de los requisitos de forma exigidos”), alcanzando la conclusión de que uno de esos requisitos ha de ser la cita, siquiera sucinta, de las normas y la jurisprudencia que se estimen infringidas, en atención a que la fase de preparación del recurso de casación tiene sustantividad propia, sin que pueda quedar reducida a un trámite carente de trascendencia. Desde esa óptica, en el Auto impugnado se razona que la exigencia de la cita de las normas y jurisprudencia que el recurrente repute infringidas persigue garantizar que la parte recurrida cuente desde un principio con la información necesaria para adoptar la posición procesal que estime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el Tribunal Supremo ha tenido en cuenta la finalidad particular del trámite de preparación en el marco general del recurso de casación y ha orientado la nueva exigencia a la mejor consecución de ese fin. Por ello, puede decirse que el Auto impugnado no sólo constituye un ejercicio legítimo de las facultades interpretativas que el art. 123 CE reserva al Tribunal Supremo, sino que contiene, asimismo, una ponderación suficiente de los fines propios de la norma y de las consecuencias que su aplicación genera en la esfera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Debe rechazarse, asimismo, que la exigencia del mencionado requisito viole el derecho a la tutela judicial efectiva (art. 24.1 CE), en su vertiente de acceso a los recursos, por haberse exigido al escrito de preparación del recurso de casación un contenido distinto del que el Tribunal Supremo venía contemplando en la fecha en que fue presentado.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comenzar recordando que, repetidamente, este Tribunal ha declarado que la selección de normas aplicables y su interpretación corresponde, en principio, a los Jueces y Tribunales ordinarios en el ejercicio de la función jurisdiccional que con carácter exclusivo les atribuye el art. 117.3 CE. El control de este Tribunal sólo abarcará el examen de si se ha realizado una selección o interpretación arbitraria, manifiestamente irrazonable o fruto de un error patente.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Tribunal Europeo de Derechos Humanos ha señalado que las exigencias de seguridad jurídica y de protección de la confianza legítima de los litigantes no generan un derecho adquirido a una determinada jurisprudencia, por más que hubiera sido constante (STEDH de 18 de diciembre de 2008, caso Unédic contra Francia, § 74), pues la evolución de la jurisprudencia no es en sí contraria a la correcta administración de justicia, ya que lo contrario impediría cualquier cambio o mejora en la interpretación de las leyes (STEDH de 14 de enero de 2010, caso Atanasovski contra la ex República Yugoslava de Macedonia, § 38).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anterior debemos añadir que en el sistema de civil law en que se desenvuelve la labor jurisprudencial encomendada al Tribunal Supremo español, la jurisprudencia no es, propiamente, fuente del Derecho —las sentencias no crean la norma— por lo que no son miméticamente trasladables las reglas que se proyectan sobre el régimen de aplicación de las leyes. A diferencia del sistema del common law, en el que el precedente actúa como una norma y el overruling, o cambio de precedente, innova el ordenamiento jurídico, con lo que es posible limitar la retroactividad de la decisión judicial, en el Derecho continental los tribunales no están vinculados por la regla del prospective overruling, rigiendo, por el contrario, el retrospective overruling (sin perjuicio de la excepción que, por disposición legal, establezca el efecto exclusivamente prospectivo de la sentencia, como así se prevé en el art. 100.7 LJCA en el recurso de casación en interés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tuvimos ocasión de señalarlo ya en nuestra STC 95/1993, de 22 de marzo, en la que subrayamos que la Sentencia que introduce un cambio jurisprudencia “hace decir a la norma lo que la norma desde un principio decía, sin que pueda entenderse que la jurisprudencia contradictoria anterior haya alterado esa norma, o pueda imponerse como Derecho consuetudinario frente a lo que la norma correctamente entendida dice”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no concurren las excepcionales circunstancias apreciadas en el caso resuelto en la STC 7/2015, de 22 de enero, en el que la parte, con notoria diligencia, procedió a complementar el escrito de preparación inicialmente presentado para ajustarlo al nuevo criterio jurisprudencial tan pronto como tuvo conocimiento de ello, conducta procesal que el Tribunal Supremo no ponderó, lesionando así el derecho fundamental reconocido en el art. 24.1 CE. En este caso, sin embargo, la parte no procedió del modo expuesto, ni siquiera después de que le fuera notificada la providencia mediante la que el Tribunal Supremo abría el trámite de alegaciones sobre la posible concurrencia de la causa de inadmisión derivada del defecto advertido.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Finalmente, por lo que se refiere al derecho a la igualdad en la aplicación de la ley (art. 14 CE) y en lo que al presente caso importa, este Tribunal ha reiterado que está vedado a los órganos judiciales el cambio irreflexivo o arbitrario en la aplicación de una norma, lo cual equivale a mantener que, por el contrario, el cambio resulta legítimo cuando es razonado, razonable y con vocación de futuro, esto es, destinado a ser mantenido con cierta continuidad, con fundamento en razones jurídicas objetivas que excluyan todo significado de resolución ad personam o de ruptura ocasional en una línea que se venga manteniendo con normal uniformidad antes de la decisión divergente o se continúe con posterioridad (por todas, SSTC 105/2009, de 4 de mayo, FJ 4, y 178/2014, de 3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ello, el Auto del Tribunal Supremo impugnado —lejos de ser una decisión particularizada y adoptada ad hoc por el órgano judicial para resolver ese solo caso o para aplicarlo exclusivamente a la persona del recurrente— constituye la plasmación de un criterio jurisprudencial previamente adoptado con carácter general y con vocación de permanencia para resolver todos los supuestos de las mismas características.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consideración a lo argumentado en los anteriores fundamentos jurídicos, procede la desestimación del recurso de amparo interpuesto.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la mercantil Josel, S.L.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abril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los Magistrados don Fernando Valdés Dal-Ré y don Juan Antonio Xiol Ríos a la Sentencia dictada en el recurso de amparo avocado núm. 3814-2012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mayoritaria de nuestros compañeros de Pleno en la que se sustenta la Sentencia, manifestamos nuestra discrepancia con la fundamentación jurídica y el fallo de esta. Consideramos que hubiera debido ser estimatoria por vulneración del derecho a la tutela judicial efectiva (art. 24.1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de nuestra discrepancia son coincidentes con las que ya fueron expuestas en los votos particulares formulados a las SSTC 7/2015, de 22 de enero, y 16/2015, de 16 de febrero, a los que para evitar reiteraciones innecesarias nos remitimos.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treinta de abril de dos mil quince.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