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30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Santiago Martínez-Vares García, don Juan Antonio Xiol Ríos, don Pedro González-Trevijano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3814-2012, promovido por la mercantil Josel, S.L., representada por el Procurador de los Tribunales don Antonio Sorribes Calle y asistida por el Abogado don Miguel Andrés Riera, contra el Auto de la Sección Primera de la Sala de lo Contencioso-Administrativo del Tribunal Supremo, de fecha 12 de enero de 2012, que resolvió la inadmisión del recurso de casación núm. 316-2011, interpuesto por la sociedad demandante de amparo, y contra la providencia de fecha 22 de mayo de 2012, que inadmitió el incidente de nulidad de actuaciones interpuesto contra la resolución precedente. Ha comparecido el Abogado del Estado, en la representación que ostenta, y ha intervenido el Ministerio Fiscal. Ha sido Ponente el Magistrado don Pedro González Trevijano-Sánchez,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junio del 2012 tuvo entrada en el Registro General de este Tribunal el escrito presentado por el Procurador de los Tribunales don Antonio Sorribes Calle, actuando en nombre y representación de la mercantil Josel, S.L., y bajo la dirección letrada del Abogado don Miguel Andrés Riera, mediante el cual interpuso recurso de amparo contra las resoluciones judiciales que se mencionan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Josel, S.L., entidad que absorbió y sucedió a título universal a Donca, S.A., interpuso recurso contencioso-administrativo contra la resolución del Tribunal Económico-Administrativo Central, de fecha 14 de septiembre de 2007, desestimatoria del recurso de alzada interpuesto contra la resolución del Tribunal Económico-Administrativo Regional de Cataluña, de fecha 6 de octubre de 2005, dictada en la reclamaciones económico-administrativas relativas a las liquidaciones practicadas y sanciones impuestas a Donca, S.A., por los ejercicios 1996 y 1997 del impuesto de sociedades.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Seguido el procedimiento por sus trámites, con el núm. 453-2007, la Sala de lo Contencioso-Administrativo de la Audiencia Nacional (Sección Segunda) dictó, en fecha 16 de diciembre de 2010, Sentencia que estimó parcialmente las pretensiones de la demandante, pues anuló la sanción que le había sido impuesta por ambos ejercicios, pero desestimó las restantes pretensiones ejercitadas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escrito presentado el día 4 de enero de 2011, el Abogado del Estado formuló escrito de preparación del recurso de casación contra la Sentencia recaída en la instancia. No obstante, por escrito de fecha 28 de febrero, que fue presentado ante la Sala Tercera del Tribunal Supremo (Sección Primera), la Abogacía del Estado manifestó que no sostenía el recurso de casación. Por Decreto de la Secretaría del referido órgano, de fecha 23 de marzo de 2011, se declaró desierto el recurso de casación a que se ha hecho mención.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presentado, en fecha 10 de enero de 2011, la sociedad demandante de amparo interesó que se tuviera por preparado recurso de casación contra la Sentencia antes indicada. En dicho escrito puso de manifiesto la intención de interponer recurso de casación y, a su vez, indicó que el recurso iba a fundarse en los motivos previstos en los arts. 88.1 c) y 88.1 d) de la Ley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diligencia de ordenación de fecha 12 de enero de 2011, la Sala de lo Contencioso-Administrativo de la Audiencia Nacional tuvo por preparado los recursos de casación. Asimismo, dicho órgano acordó emplazar a los recurrentes para que comparecieran ante la Sala Tercera del Tribunal Supremo. Una vez recibidas las actuaciones por el órgano ad quem, el día 16 de febrero del 2011 la actora interpuso el recurso de casación ante la Sala Tercera del Tribunal Supremo. El recurso de casación fue registrado con el número 316-2011.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providencia de 25 de abril de 2011, la Sala Tercera del Tribunal Supremo confirió traslado a las partes, a fin que formularan alegaciones sobre la posible concurrencia de la causa de inadmisión, consistente en no haber citado en el escrito de preparación las infracciones normativas o jurisprudenciales que iban a desarrollarse en el escrito de interposición [arts. 88.1, 89.1 y 93.2 a) LJCA], conforme a lo establecido en el ATS de 10 de febrero de 2011, dictado en el recurso de casación 2927-2010.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16 de mayo de 2011 la sociedad demandante evacuó el traslado conferido. En síntesis, la referida entidad manifestó haber preparado el recurso de casación conforme al criterio jurisprudencial establecido con anterioridad al ATS de 10 de febrero de 2011; que no cabe aplicar retroactivamente y de manera sorpresiva el cambio de criterio jurisprudencial relativo a los requisitos del recurso de preparación del recurso de casación, principalmente porque en el momento de la preparación del recurso la recurrente no pudo tener conocimiento de la referida modificación de criterio; que la aplicación retroactiva de las nuevas pautas jurisprudenciales, que no están previstas legalmente, vulneran el principio de seguridad jurídica; y que es manifiestamente desproporcionado exigir el cumplimiento de un requisito formal, en el escrito de preparación del recurso de casación, cuando dicho recurso ya se ha formalizado.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Auto de 12 de enero de 2012, la Sala Tercera del Tribunal Supremo (Sección Primera) acordó la inadmisión del recurso de casación. La Sala se remitió a la doctrina establecida en ATS de 10 de febrero de 2011, del que transcribió varios de sus fundamentos, y concluyó que no habiéndose citado, en el escrito de preparación del recurso formalizado por la sociedad recurrente, las infracciones normativas o jurisprudenciales que iban a desarrollarse en el escrito de interposición, procedía la inadmisión del recurso de casación. Por otro lado, la Sala consideró de aplicación lo que la doctrina constitucional ha calificado como “mínimo efecto retroactivo”, de manera que el nuevo criterio jurisprudencial resulta extensible a todo supuesto o situación jurídica que tenga ante sí para resolver, con independencia del momento temporal en que se interpuso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fecha 21 de febrero de 2012, la sociedad demandante de amparo promovió incidente de nulidad de actuaciones en el que, con una extensa argumentación, alegó la vulneración del derecho a la igualdad en la aplicación judicial de la ley (art. 14 CE) y del derecho a la tutela judicial efectiva en su vertiente de acceso a los recursos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Por providencia de 22 de mayo de 2012 fue inadmitido el incidente de nulidad de actuaciones promovido contra el Auto de inadmisión del recurso de casación. En esencia, el órgano judicial considera que la demandante se limita a discrepar de las razones tenidas en consideración para inadmitir el recurso de casación, asimilando el incidente de nulidad a un recurso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aduce la vulneración del derecho a la igualdad en la aplicación judicial de la ley (art 14 CE) y del derecho a la tutela judicial efectiva sin indefensión, en su vertiente del acceso a los recursos (art. 24.1 CE). En síntesis, tales vulneraciones se asientan en las siguientes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Resulta arbitrario e irracional aplicar retroactivamente un cambio de criterio jurisprudencial, en relación con los requisitos formales para la admisibilidad del recurso de casación, sobre todo cuando se exige la observancia de las nuevas pautas jurisprudenciales una vez formalizado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aplicación retroactiva de un nuevo requisito de forma, no previsto legalmente e introducido ex novo en virtud de un cambo jurisprudencial, es irracional por vulnerar 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nuevo criterio jurisprudencial violenta el tenor de la norma legal, pues exige cumplimentar, en el escrito de preparación del recurso de casación, un requisito que solamente tiene sentido cuando se recurren en casación sentencias dictadas por los Tribunales Superiores de Justicia, con fundamento en la infracción de una norma estatal o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presente caso ha tenido lugar una modificación irreflexiva y arbitraria de un criterio jurisprudencial consolidado, que es contraria al principio de igualdad (art. 14 CE), máxime porque no ha existido modificación de la normativa que justifique tal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fecha 18 de septiembre de 2013, el Magistrado de este Tribunal don Juan José González Rivas solicitó se le tuviera por abstenido en el presente recurso, dada la concurrencia de la causa de abstención prevista en el art. 219.11 de la Ley Orgánica del Poder Judicial (LOPJ), de aplicación supletoria conforme a lo establecido en el art. 80 de la Ley Orgánica del Tribunal Constitucional (LOTC), habida cuenta de que formó parte de la Sección Primera de la Sala Tercera del Tribunal Supremo, órgano este que dictó el Auto de inadmisión de 12 de enero del 2012, del que trae causa el presente recurso de amparo. Por Auto de fecha 19 de septiembre de 2013, la Sección Tercera de este Tribunal resolvió estimar justificada la causa de abstención invocada, apartando definitivamente del conocimiento del presente recurso al referido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octubre de 2013, la Sala Segunda del Tribunal Constitucional acordó admitir a trámite la demanda de amparo. Asimismo, en aplicación de lo dispuesto en el art. 51 LOTC, dispuso dirigir atenta comunicación al Tribunal Supremo y a la Audiencia Nacional a fin de que, en el plazo de diez días, remitieran certificación o fotocopia adverada de las actuaciones correspondientes al recurso de casación núm. 316-2011 y al recurso núm. 453-2007, respectivamente, debiendo previamente emplazarse para que pudieran comparecer en el recurso de amparo, en el término de diez días,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fecha 28 de octubre de 2013, el Abogado del Estado, en la representación que le es propia, solicitó que se le tuviera por personado y parte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Segunda de este Tribunal, de fecha 15 de noviembre de 2013, se tuvo por personado y parte al Abogado del Estado, en representación de la Administración del Estado. A tenor de lo dispuesto en el art. 52.1 LOTC, se dio vista de las actuaciones, por un plazo común de veinte días, al Ministerio Fiscal y a las partes personadas para que dentro de dicho término pudieran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fecha 9 de diciembre del 2013, la sociedad demandante formuló sus alegaciones. En esencia, dicha entidad se remite a lo ya manifestado en el escrito de demanda, reiterando las pretensiones interesadas en dicho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 El Abogado del Estado presentó sus alegaciones mediante escrito registrado el día 18 de diciembre de 2013. En síntesis, considera que, a la luz de la doctrina constitucional, el Auto de inadmisión combatido en amparo vulnera el derecho al acceso a los recursos que garantiza el art. 24.1 CE. Para el Abogado del Estado el auténtico problema constitucional que la demanda suscita radica en la aplicación retrospectiva de las nuevas máximas jurisprudenciales plasmadas en el ATS de 10 de febrero de 2011, que la demandante no podía conocer cuando preparó el recurso de casación. En el presente caso, la inadmisión del recurso de casación se sustenta, precisamente, en que no se preparó conforme a las referidas máximas, lo que comporta imponer retroactivamente un novedoso régimen procesal desfavorable a la realización de un acto procesal totalmente concluido. Por tanto, la cuestión principal radica en la irrazonabilidad de una decisión que impone unos requisitos de forma que la parte no tenía posibilidad de conocer ni, por tanto, de cumplir.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Abogado del Estado interesa que se dicte Sentencia cuya doctrina refleje que “el derecho fundamental de acceso al recurso garantiza a los justiciables que las nuevas máximas jurisprudenciales que imponen más severos requisitos de forma al escrito de preparación de un recurso de casación —cuyo incumplimiento puede determinar la inadmisión del recurso— no se aplicarán contrariando las exigencias mínimas de confianza legítima de los justiciables.”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sus alegaciones mediante escrito registrado el 13 de enero de 2014. Descarta la vulneración del art. 14 CE, dado que la sociedad demandante no ha ofrecido un desarrollo argumental adecuado para justificar la vulneración de la igualdad en la aplicación de la ley. Tal deficiencia aboca al fracaso del motivo, toda vez que no le corresponde al Tribunal Constitucional reconstruir las demandas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rechaza la pretendida vulneración del art. 24.1 CE, pues entiende que la argumentación ofrecida para inadmitir el recurso de casación no incurre en arbitrariedad, falta de razonabilidad o error patente. A mayor abundamiento, añade que el criterio mantenido por el órgano judicial en relación con los requisitos del escrito de preparación del recurso de casación, esto es, la obligación de indicar las concretas infracciones normativas o jurisprudenciales, se desprende del propio tenor de los apartados c) y d) del art. 88 LJCA. Por ello, concluye que el requisito cuyo incumplimiento ha determinado la inadmisión del referido recurso no viene impuesto por la jurisprudencia, sino por la propia normativa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fecha 4 de noviembre de 2014, el Magistrado de este Tribunal don Ricardo Enríquez Sancho solicitó se le tuviera por abstenido en el presente recurso, dada la concurrencia de la causa de abstención prevista en el art. 219.11 LOPJ, de aplicación supletoria conforme a lo establecido en el art. 80 LOTC, habida cuenta de que, a la sazón, formó parte de la Sección Primera de la Sala Tercera del Tribunal Supremo, órgano este que dictó el Auto de inadmisión de 12 de enero de 2012, del que trae causa el presente recurso de amparo. Por Auto de fecha 6 de noviembre de 2014, la Sala Segunda de este Tribunal resolvió estimar justificada la causa de abstención invocada, apartando definitivamente del conocimiento del presente recurso y de todas sus incidencias al referido Magistrado.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fecha 17 de marzo de 2015, el Pleno, en su reunión de esa fecha y conforme establece el artículo 10.1 n) de la Ley Orgánica del Tribunal, a propuesta de la Sala Segunda, acuerda recabar para sí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28 de abril de 2015 se señaló para deliberación y fallo de la Sentencia el día 30 del citado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parte demandante de amparo impugna el Auto de la Sección Primera de la Sala de lo Contencioso-Administrativo del Tribunal Supremo de 12 de enero de 2012, que acordó no admitir a trámite el recurso de casación interpuesto contra la Sentencia de la Sala de lo Contencioso-Administrativo de la Audiencia Nacional (Sección Segunda) de 16 de diciembre de 2010, recaída en el procedimiento ordinario núm. 453-2007. También impugna la providencia mediante la que se inadmitió a trámite el incidente de nulidad de actuaciones, de fecha 22 de mayo de 2012, promovido contra el Auto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según se expresa con más detalle en los antecedentes de hecho de esta resolución, imputa a las resoluciones recurridas: (i) la vulneración de su derecho a la tutela judicial efectiva (art. 24.1 CE), en su vertiente de acceso a los recursos, porque el Auto impugnado se funda en un requisito de admisibilidad no exigido por la ley; (ii) la vulneración de su derecho a la tutela judicial efectiva (art. 24.1 CE), en su vertiente de acceso a los recursos, porque la exigencia de anticipar, en el escrito de preparación del recurso de casación, los concretos preceptos o la jurisprudencia que se reputan infringidos se ha aplicado a un supuesto en el que aquella exigencia no era conocida ni predecible a tenor de la jurisprudencia precedente; (iii) la vulneración de su derecho a la igualdad en la aplicación judicial de la ley (art.14 CE), pues entiende que se ha producido una modificación irreflexiva y arbitraria de un criterio jurisprudencial consolidado, sin que se haya producido un cambio de las norma que regula la preparación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problemas planteados en la demanda de amparo han sido ya abordados por este Tribunal en la STC 7/2015, de 22 de enero, en la que hemos tenido la oportunidad de examinar otro supuesto de inadmisión de un recurso de casación, por omitirse en el escrito de preparación la cita de las normas y jurisprudencia que el recurrente reputase infringidas.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establecida en la referida Sentencia, debe descartarse, en primer lugar, que se haya vulnerado el derecho a la tutela judicial efectiva (art. 24.1 CE) por carecer la decisión judicial de la necesaria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este Tribunal ha declarado que “corresponde al Tribunal Supremo la última palabra sobre la admisibilidad de los recursos de casación ante él interpuestos, salvo lo dispuesto en materia de garantías constitucionales (art. 123 CE)” (STC 37/1995, de 7 de febrero, FJ 6), por lo que el control constitucional que este Tribunal debe realizar de las resoluciones judiciales dictadas sobre los presupuestos o requisitos de admisión de los recursos tiene carácter externo, siendo, si cabe, más limitado en lo referido al recurso de casación, pues (i) el Tribunal Supremo tiene encomendada la función de interpretar la ley con el valor complementario que atribuye a su jurisprudencia el Código civil y (ii) el recurso de casación tiene, a su vez, naturaleza extraordinaria, de donde se sigue que su régimen procesal es más estricto (SSTC 37/1995, FJ 5; 248/2005, de 10 de octubre, FJ 2; 100/2009, de 27 de abril, FJ 4, y 35/2011, de 28 de marzo,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hemos de recordar que el Tribunal Europeo de Derechos Humanos ha señalado que la manera en la que se aplica el art. 6.1 del Convenio a este recurso extraordinario puede depender de particularidades derivadas de la apreciación de conjunto del proceso tramitado y del papel que desempeñe el tribunal de casación, pudiendo las condiciones de admisión de un recurso de casación ser más rigurosas que las propias de un recurso que haya de resolverse en grado de apelación (SSTEDH de 19 de diciembre de 1997, caso Brualla Gómez de la Torre c. España, y de 25 de enero de 2005, caso Puchol Oliver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relevantes son las Sentencias del Tribunal de Estrasburgo recaídas en los casos Sociedad General de Aguas de Barcelona c. España, de 25 de mayo de 2000; Llopis Ruiz c. España, de 7 noviembre 2003, e Ipamark c. España, de 17 de febrero de 2004, que presentan en común juzgar resoluciones en las que nuestro Tribunal Supremo inadmitió recursos de casación por considerar que los recurrentes no habían justificado en sus respectivos escritos procesales que la infracción de normas estatales o comunitarias había sido relevante y determinante del fallo de la Sentencia recurrida. El Tribunal Europeo concluyó con la desestimación de las respectivas demandas, en la medida en que la interpretación que deba darse a los preceptos de la Ley reguladora de la jurisdicción contencioso-administrativa (LJCA) y a las condiciones de su aplicación era una cuestión que dependía de los jueces ordinarios, sin que en estos casos su interpretación pudiera tacharse de arbitraria o irrazonable o de que dificultase la equidad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enmarcada la cuestión, la exigencia de que el escrito de preparación del recurso de casación contenga la cita, siquiera sucinta, de las normas y jurisprudencia que se estimen infringidas, entra dentro de las facultades jurisprudenciales que corresponden al Tribunal Supremo en la interpretación de los requisitos de acceso a la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Tribunal Supremo, en el Auto que es objeto de impugnación en el presente recurso, ha afrontado la interpretación del art. 89.1 LJCA (precepto que exige que en el escrito de preparación del recurso de casación se exprese “la intención de interponer el recurso, con sucinta exposición de la concurrencia de los requisitos de forma exigidos”), alcanzando la conclusión de que uno de esos requisitos ha de ser la cita, siquiera sucinta, de las normas y la jurisprudencia que se estimen infringidas, en atención a que la fase de preparación del recurso de casación tiene sustantividad propia, sin que pueda quedar reducida a un trámite carente de trascendencia. Desde esa óptica, en el Auto impugnado se razona que la exigencia de la cita de las normas y jurisprudencia que el recurrente repute infringidas persigue garantizar que la parte recurrida cuente desde un principio con la información necesaria para adoptar la posición procesal que estime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Tribunal Supremo ha tenido en cuenta la finalidad particular del trámite de preparación en el marco general del recurso de casación y ha orientado la nueva exigencia a la mejor consecución de ese fin. Por ello, puede decirse que el Auto impugnado no sólo constituye un ejercicio legítimo de las facultades interpretativas que el art. 123 CE reserva al Tribunal Supremo, sino que contiene, asimismo, una ponderación suficiente de los fines propios de la norma y de las consecuencias que su aplicación genera en la esfera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Debe rechazarse, asimismo, que la exigencia del mencionado requisito viole el derecho a la tutela judicial efectiva (art. 24.1 CE), en su vertiente de acceso a los recursos, por haberse exigido al escrito de preparación del recurso de casación un contenido distinto del que el Tribunal Supremo venía contemplando en la fecha en que fue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recordando que, repetidamente, este Tribunal ha declarado que la selección de normas aplicables y su interpretación corresponde, en principio, a los Jueces y Tribunales ordinarios en el ejercicio de la función jurisdiccional que con carácter exclusivo les atribuye el art. 117.3 CE. El control de este Tribunal sólo abarcará el examen de si se ha realizado una selección o interpretación arbitraria, manifiestamente irrazonable o fruto de un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Europeo de Derechos Humanos ha señalado que las exigencias de seguridad jurídica y de protección de la confianza legítima de los litigantes no generan un derecho adquirido a una determinada jurisprudencia, por más que hubiera sido constante (STEDH de 18 de diciembre de 2008, caso Unédic contra Francia, § 74), pues la evolución de la jurisprudencia no es en sí contraria a la correcta administración de justicia, ya que lo contrario impediría cualquier cambio o mejora en la interpretación de las leyes (STEDH de 14 de enero de 2010, caso Atanasovski contra la ex República Yugoslava de Macedonia, §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debemos añadir que en el sistema de civil law en que se desenvuelve la labor jurisprudencial encomendada al Tribunal Supremo español, la jurisprudencia no es, propiamente, fuente del Derecho —las sentencias no crean la norma— por lo que no son miméticamente trasladables las reglas que se proyectan sobre el régimen de aplicación de las leyes. A diferencia del sistema del common law, en el que el precedente actúa como una norma y el overruling, o cambio de precedente, innova el ordenamiento jurídico, con lo que es posible limitar la retroactividad de la decisión judicial, en el Derecho continental los tribunales no están vinculados por la regla del prospective overruling, rigiendo, por el contrario, el retrospective overruling (sin perjuicio de la excepción que, por disposición legal, establezca el efecto exclusivamente prospectivo de la sentencia, como así se prevé en el art. 100.7 LJCA en el recurso de casación en interés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tuvimos ocasión de señalarlo ya en nuestra STC 95/1993, de 22 de marzo, en la que subrayamos que la Sentencia que introduce un cambio jurisprudencia “hace decir a la norma lo que la norma desde un principio decía, sin que pueda entenderse que la jurisprudencia contradictoria anterior haya alterado esa norma, o pueda imponerse como Derecho consuetudinario frente a lo que la norma correctamente entendida dice”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no concurren las excepcionales circunstancias apreciadas en el caso resuelto en la STC 7/2015, de 22 de enero, en el que la parte, con notoria diligencia, procedió a complementar el escrito de preparación inicialmente presentado para ajustarlo al nuevo criterio jurisprudencial tan pronto como tuvo conocimiento de ello, conducta procesal que el Tribunal Supremo no ponderó, lesionando así el derecho fundamental reconocido en el art. 24.1 CE. En este caso, sin embargo, la parte no procedió del modo expuesto, ni siquiera después de que le fuera notificada la providencia mediante la que el Tribunal Supremo abría el trámite de alegaciones sobre la posible concurrencia de la causa de inadmisión derivada del defecto advertido.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Finalmente, por lo que se refiere al derecho a la igualdad en la aplicación de la ley (art. 14 CE) y en lo que al presente caso importa, este Tribunal ha reiterado que está vedado a los órganos judiciales el cambio irreflexivo o arbitrario en la aplicación de una norma, lo cual equivale a mantener que, por el contrario, el cambio resulta legítimo cuando es razonado, razonable y con vocación de futuro, esto es, destinado a ser mantenido con cierta continuidad, con fundamento en razones jurídicas objetivas que excluyan todo significado de resolución ad personam o de ruptura ocasional en una línea que se venga manteniendo con normal uniformidad antes de la decisión divergente o se continúe con posterioridad (por todas, SSTC 105/2009, de 4 de mayo, FJ 4, y 178/2014, de 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el Auto del Tribunal Supremo impugnado —lejos de ser una decisión particularizada y adoptada ad hoc por el órgano judicial para resolver ese solo caso o para aplicarlo exclusivamente a la persona del recurrente— constituye la plasmación de un criterio jurisprudencial previamente adoptado con carácter general y con vocación de permanencia para resolver todos los supuestos de las mismas características.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consideración a lo argumentado en los anteriores fundamentos jurídicos, procede la desestimación del recurso de amparo interpuesto.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la mercantil Josel, S.L.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Fernando Valdés Dal-Ré y don Juan Antonio Xiol Ríos a la Sentencia dictada en el recurso de amparo avocado núm. 3814-2012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de Pleno en la que se sustenta la Sentencia, manifestamos nuestra discrepancia con la fundamentación jurídica y el fallo de esta. Consideramos que hubiera debido ser estimatoria por vulneración del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son coincidentes con las que ya fueron expuestas en los votos particulares formulados a las SSTC 7/2015, de 22 de enero, y 16/2015, de 16 de febrero, a los que para evitar reiteraciones innecesarias nos remitimos.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treinta de abril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