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21 de abril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impugnan autos de la Sección Primera de la Sala de lo Contencioso-Administrativo del Tribunal Supremo en recurso 2667-2011.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20 de abril de 2015,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23 de febrero de 2012, resolución impugnada en el presente recurso de amparo número 1353-2013.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23 de febrero de 2012, en el recurso de casación número 2667-2011,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número 1355-2013,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