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1461-2014,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marzo de 2014 tuvo entrada en el Registro General de este Tribunal un oficio de la Sala de lo Social, con sede en Burgos, del Tribunal Superior de Justicia de Castilla y León al que se acompaña, junto con el testimonio del procedimiento ordinario núm. 291-2013, Auto de 31 de enero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grupo de pensionistas interpusieron demanda ante el instituto nacional de la Seguridad Social (INSS) en reclamación de actualización de la pensión solicitando que se declarase el derecho a percibir la paga única compensatoria a que se refiere el apartado 1.2 del art. 48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solicitaban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estimando en parte la demanda, declarando “el derecho de todos los demandantes a que se considere como pensión del año 2012 la señalada en el apartado segundo del relato histórico de la presente incrementada en un 2,9 por 100 y que la misma sirva de base para el incremento acordado en el año 2013” y el “derecho de los actores a percibir las diferencias correspondientes al año 2012 que son la diferencia entre el 1 por 100 aplicado y el 2,9 por 100 debido”. Se condena al INSS a abonar a los demandantes que se citan el pago de determinadas cantidades que se especifican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10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10 de diciembre de 2013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31 de enero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6 de mayo de 2014;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14 de mayo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28 de mayo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de este Tribunal el 19 de mayo de 2014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20 de mayo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26 de mayo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Real-Decreto-ley 28/2012 de 30 de noviembre y este precepto hace referencia a la suspensión de lo previsto en el art. 48 apartado 1.1 de la Ley general de la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 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es obvia la vulneración por parte del Decreto-ley, cuando suspende las normas generales del art. 48 LGSS, de la retroactividad, y lo hace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Española, no puede compartir ese cuestionamiento. 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se personó por escrito presentado el 30 de mayo de 2014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de la Ley general de la Seguridad Social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Española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presentó su escrito de alegaciones el 11 de junio de 2014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 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esta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LGSS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del Estado ha de ser un mero trasunto contable de la obligación legal contenida en la LGSS,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del texto refundido de la Ley del estatuto de los trabajores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solo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“solo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solo son indemnizables las privaciones de derechos ciertos, efectivos y actuales, pero no eventuales o futuros”. De ello se deduce que la norma impugnada es acorde con el art. 33 CE en la medida en que su aplicación no ha supuesto la expropiación de derechos patrimoniales consolidados, pues de lo que se ha privado a los pensionistas es de una expectativa, pero no de un derecho actual consolidado, y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5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la cuestión de inconstitucionalidad núm. 1461-2014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estimatorio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