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6481-2014,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octubre de 2014 tuvo entrada en el Registro General de este Tribunal un oficio de la Sala de lo Social, con sede en Burgos, del Tribunal Superior de Justicia de Castilla y León al que se acompaña, junto con el testimonio del procedimiento ordinario núm. 166-2014, Auto de 15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pensionista interpuso demanda ante el Instituto Nacional de la Seguridad Social en reclamación de actualización de la pensión solicitando que se declarase el derecho a percibir la paga única compensatoria a que se refiere el apartado 1.2 del art. 48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estimando la demanda, declarando “el derecho del demandante a que se considere como pensión del año 2012 la señalada en el apartado segundo del relato histórico de la presente incrementada en un 2,9 por 100 y que la misma sirva de base para el incremento acordado en el año 2013” y el “derecho del actor a percibir las diferencias correspondientes al año 2012 que son la diferencia entre el 1 por 100 aplicado y el 2,9 por 100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1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1 de octubre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15 de octubre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de la CE, afectando de forma retroactiva a derechos adquiridos y con la vulneración del art. 9.3 de la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2 de diciembre de 2014;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diciembre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17 de diciembre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de este Tribunal el 12 de diciembre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15 de diciembre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por escrito registrado el 26 de diciembre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LGSS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el 7 de enero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7 de enero de 2015 interesando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solo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en el art. 2.1 del Real Decreto-ley 28/2012 falta un elemento indispensable para que pueda calificarse la no actualización de las pensiones de medida expropiatoria, cual es que, siguiendo lo dispuesto en la STC 108/1986, de 29 de julio, FJ 20, “solo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solo son indemnizables las privaciones de derechos ciertos, efectivos y actuales, pero no eventuales o futuros”. De ello se deduce que la norma impugnada es acorde con el art. 33 CE en la medida en que su aplicación no ha supuesto la expropiación de derechos patrimoniales consolidados, pues de lo que se ha privado a los pensionistas es de una expectativa, pero no de un derecho actual consolidado, y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la cuestión de inconstitucionalidad núm. 6481-2014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